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ED0593E">
      <w:pPr>
        <w:jc w:val="center"/>
        <w:rPr>
          <w:rFonts w:hint="eastAsia" w:ascii="宋体" w:hAnsi="宋体" w:cs="宋体"/>
          <w:b/>
          <w:color w:val="auto"/>
          <w:kern w:val="0"/>
          <w:sz w:val="44"/>
          <w:szCs w:val="44"/>
          <w:highlight w:val="none"/>
        </w:rPr>
      </w:pPr>
      <w:bookmarkStart w:id="0" w:name="_Toc324404811"/>
      <w:bookmarkStart w:id="1" w:name="_Toc247085669"/>
      <w:bookmarkStart w:id="2" w:name="_Toc296602400"/>
      <w:bookmarkStart w:id="3" w:name="_Toc461631222"/>
      <w:bookmarkStart w:id="4" w:name="_Toc15058843"/>
      <w:bookmarkStart w:id="5" w:name="_Toc506107265"/>
      <w:bookmarkStart w:id="6" w:name="_Toc246996898"/>
      <w:bookmarkStart w:id="7" w:name="OLE_LINK2"/>
      <w:bookmarkStart w:id="8" w:name="OLE_LINK4"/>
      <w:bookmarkStart w:id="9" w:name="OLE_LINK1"/>
      <w:bookmarkStart w:id="10" w:name="OLE_LINK3"/>
      <w:bookmarkStart w:id="11" w:name="OLE_LINK5"/>
    </w:p>
    <w:p w14:paraId="2F85534C">
      <w:pPr>
        <w:pStyle w:val="2"/>
        <w:ind w:firstLine="420"/>
        <w:rPr>
          <w:color w:val="auto"/>
          <w:highlight w:val="none"/>
        </w:rPr>
      </w:pPr>
    </w:p>
    <w:p w14:paraId="6DD69188">
      <w:pPr>
        <w:jc w:val="center"/>
        <w:rPr>
          <w:rFonts w:hint="eastAsia" w:ascii="宋体" w:hAnsi="宋体"/>
          <w:color w:val="auto"/>
          <w:sz w:val="52"/>
          <w:szCs w:val="52"/>
          <w:highlight w:val="none"/>
        </w:rPr>
      </w:pPr>
      <w:r>
        <w:rPr>
          <w:rFonts w:hint="eastAsia" w:hAnsi="宋体" w:cs="宋体"/>
          <w:b/>
          <w:color w:val="auto"/>
          <w:kern w:val="0"/>
          <w:sz w:val="52"/>
          <w:szCs w:val="52"/>
          <w:highlight w:val="none"/>
        </w:rPr>
        <w:t>兴全矿业办公生活区室外配电管线工程</w:t>
      </w:r>
    </w:p>
    <w:p w14:paraId="7B1B52F5">
      <w:pPr>
        <w:pStyle w:val="2"/>
        <w:ind w:firstLine="420"/>
        <w:rPr>
          <w:color w:val="auto"/>
          <w:highlight w:val="none"/>
        </w:rPr>
      </w:pPr>
    </w:p>
    <w:p w14:paraId="33704E64">
      <w:pPr>
        <w:jc w:val="center"/>
        <w:rPr>
          <w:rFonts w:hint="eastAsia" w:ascii="宋体" w:hAnsi="宋体"/>
          <w:b/>
          <w:bCs/>
          <w:color w:val="auto"/>
          <w:sz w:val="96"/>
          <w:szCs w:val="96"/>
          <w:highlight w:val="none"/>
        </w:rPr>
      </w:pPr>
    </w:p>
    <w:p w14:paraId="2900ED78">
      <w:pPr>
        <w:jc w:val="center"/>
        <w:rPr>
          <w:color w:val="auto"/>
          <w:sz w:val="28"/>
          <w:szCs w:val="28"/>
          <w:highlight w:val="none"/>
        </w:rPr>
      </w:pPr>
      <w:r>
        <w:rPr>
          <w:rFonts w:hint="eastAsia" w:ascii="宋体" w:hAnsi="宋体"/>
          <w:b/>
          <w:bCs/>
          <w:color w:val="auto"/>
          <w:sz w:val="96"/>
          <w:szCs w:val="96"/>
          <w:highlight w:val="none"/>
        </w:rPr>
        <w:t xml:space="preserve">招 </w:t>
      </w:r>
      <w:r>
        <w:rPr>
          <w:rFonts w:hint="eastAsia" w:ascii="宋体"/>
          <w:b/>
          <w:bCs/>
          <w:color w:val="auto"/>
          <w:sz w:val="96"/>
          <w:szCs w:val="96"/>
          <w:highlight w:val="none"/>
        </w:rPr>
        <w:t xml:space="preserve">标 </w:t>
      </w:r>
      <w:r>
        <w:rPr>
          <w:rFonts w:hint="eastAsia" w:ascii="宋体" w:hAnsi="宋体"/>
          <w:b/>
          <w:bCs/>
          <w:color w:val="auto"/>
          <w:sz w:val="96"/>
          <w:szCs w:val="96"/>
          <w:highlight w:val="none"/>
        </w:rPr>
        <w:t>文 件</w:t>
      </w:r>
    </w:p>
    <w:p w14:paraId="3BF45D91">
      <w:pPr>
        <w:spacing w:line="400" w:lineRule="exact"/>
        <w:jc w:val="center"/>
        <w:rPr>
          <w:rFonts w:hint="eastAsia" w:ascii="宋体" w:hAnsi="宋体"/>
          <w:b/>
          <w:color w:val="auto"/>
          <w:sz w:val="39"/>
          <w:highlight w:val="none"/>
        </w:rPr>
      </w:pPr>
    </w:p>
    <w:p w14:paraId="0CB7DB82">
      <w:pPr>
        <w:spacing w:line="400" w:lineRule="exact"/>
        <w:rPr>
          <w:color w:val="auto"/>
          <w:highlight w:val="none"/>
        </w:rPr>
      </w:pPr>
    </w:p>
    <w:p w14:paraId="19441D82">
      <w:pPr>
        <w:pStyle w:val="2"/>
        <w:ind w:firstLine="420"/>
        <w:rPr>
          <w:color w:val="auto"/>
          <w:highlight w:val="none"/>
        </w:rPr>
      </w:pPr>
    </w:p>
    <w:p w14:paraId="0E5F95E0">
      <w:pPr>
        <w:rPr>
          <w:color w:val="auto"/>
          <w:highlight w:val="none"/>
        </w:rPr>
      </w:pPr>
    </w:p>
    <w:p w14:paraId="02A1974D">
      <w:pPr>
        <w:pStyle w:val="2"/>
        <w:ind w:firstLine="420"/>
        <w:rPr>
          <w:color w:val="auto"/>
          <w:highlight w:val="none"/>
        </w:rPr>
      </w:pPr>
    </w:p>
    <w:p w14:paraId="6F9CF1B5">
      <w:pPr>
        <w:rPr>
          <w:color w:val="auto"/>
          <w:highlight w:val="none"/>
        </w:rPr>
      </w:pPr>
    </w:p>
    <w:p w14:paraId="5C7AB14E">
      <w:pPr>
        <w:pStyle w:val="2"/>
        <w:ind w:firstLine="420"/>
        <w:rPr>
          <w:color w:val="auto"/>
          <w:highlight w:val="none"/>
        </w:rPr>
      </w:pPr>
    </w:p>
    <w:p w14:paraId="5EA485DD">
      <w:pPr>
        <w:rPr>
          <w:color w:val="auto"/>
          <w:highlight w:val="none"/>
        </w:rPr>
      </w:pPr>
    </w:p>
    <w:p w14:paraId="09C80041">
      <w:pPr>
        <w:pStyle w:val="2"/>
        <w:ind w:firstLine="420"/>
        <w:rPr>
          <w:color w:val="auto"/>
          <w:highlight w:val="none"/>
        </w:rPr>
      </w:pPr>
    </w:p>
    <w:p w14:paraId="50AB5C6A">
      <w:pPr>
        <w:rPr>
          <w:color w:val="auto"/>
          <w:highlight w:val="none"/>
        </w:rPr>
      </w:pPr>
    </w:p>
    <w:p w14:paraId="5EFC475F">
      <w:pPr>
        <w:pStyle w:val="2"/>
        <w:ind w:firstLine="420"/>
        <w:rPr>
          <w:color w:val="auto"/>
          <w:highlight w:val="none"/>
        </w:rPr>
      </w:pPr>
    </w:p>
    <w:p w14:paraId="27860D10">
      <w:pPr>
        <w:rPr>
          <w:color w:val="auto"/>
          <w:highlight w:val="none"/>
        </w:rPr>
      </w:pPr>
    </w:p>
    <w:p w14:paraId="1B85A65D">
      <w:pPr>
        <w:pStyle w:val="2"/>
        <w:ind w:firstLine="420"/>
        <w:rPr>
          <w:color w:val="auto"/>
          <w:highlight w:val="none"/>
        </w:rPr>
      </w:pPr>
    </w:p>
    <w:p w14:paraId="480FA384">
      <w:pPr>
        <w:spacing w:line="720" w:lineRule="exact"/>
        <w:rPr>
          <w:b/>
          <w:bCs/>
          <w:color w:val="auto"/>
          <w:sz w:val="28"/>
          <w:szCs w:val="28"/>
          <w:highlight w:val="none"/>
        </w:rPr>
      </w:pPr>
    </w:p>
    <w:p w14:paraId="66A4A3CF">
      <w:pPr>
        <w:spacing w:before="156" w:beforeLines="50" w:after="156" w:afterLines="50" w:line="700" w:lineRule="exact"/>
        <w:jc w:val="center"/>
        <w:rPr>
          <w:rFonts w:ascii="宋体"/>
          <w:b/>
          <w:color w:val="auto"/>
          <w:sz w:val="32"/>
          <w:szCs w:val="32"/>
          <w:highlight w:val="none"/>
        </w:rPr>
      </w:pPr>
      <w:bookmarkStart w:id="12" w:name="_Toc32059"/>
      <w:bookmarkStart w:id="13" w:name="_Toc22225"/>
      <w:bookmarkStart w:id="14" w:name="_Toc20499"/>
      <w:bookmarkStart w:id="15" w:name="_Toc25057"/>
      <w:r>
        <w:rPr>
          <w:rFonts w:hint="eastAsia" w:ascii="宋体"/>
          <w:b/>
          <w:color w:val="auto"/>
          <w:sz w:val="32"/>
          <w:szCs w:val="32"/>
          <w:highlight w:val="none"/>
        </w:rPr>
        <w:t>招   标   人：</w:t>
      </w:r>
      <w:r>
        <w:rPr>
          <w:rFonts w:hint="eastAsia" w:ascii="宋体"/>
          <w:b/>
          <w:color w:val="auto"/>
          <w:sz w:val="32"/>
          <w:szCs w:val="32"/>
          <w:highlight w:val="none"/>
          <w:u w:val="single"/>
        </w:rPr>
        <w:t xml:space="preserve">   滁州市兴全矿业投资有限公司   </w:t>
      </w:r>
      <w:r>
        <w:rPr>
          <w:rFonts w:hint="eastAsia" w:ascii="宋体"/>
          <w:b/>
          <w:color w:val="auto"/>
          <w:sz w:val="32"/>
          <w:szCs w:val="32"/>
          <w:highlight w:val="none"/>
        </w:rPr>
        <w:t>（盖单位章）</w:t>
      </w:r>
      <w:bookmarkEnd w:id="12"/>
      <w:bookmarkEnd w:id="13"/>
      <w:bookmarkEnd w:id="14"/>
      <w:bookmarkEnd w:id="15"/>
    </w:p>
    <w:p w14:paraId="2D773B83">
      <w:pPr>
        <w:spacing w:before="156" w:beforeLines="50" w:after="156" w:afterLines="50" w:line="700" w:lineRule="exact"/>
        <w:rPr>
          <w:rFonts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rPr>
        <w:t xml:space="preserve"> 滁州市城投工程咨询管理有限公司 </w:t>
      </w:r>
      <w:r>
        <w:rPr>
          <w:rFonts w:hint="eastAsia" w:ascii="宋体"/>
          <w:b/>
          <w:color w:val="auto"/>
          <w:sz w:val="32"/>
          <w:szCs w:val="32"/>
          <w:highlight w:val="none"/>
        </w:rPr>
        <w:t>（盖单位章）</w:t>
      </w:r>
    </w:p>
    <w:p w14:paraId="54002AAC">
      <w:pPr>
        <w:spacing w:before="156" w:beforeLines="50" w:after="156" w:afterLines="50" w:line="700" w:lineRule="exact"/>
        <w:jc w:val="center"/>
        <w:rPr>
          <w:rFonts w:ascii="宋体"/>
          <w:b/>
          <w:color w:val="auto"/>
          <w:sz w:val="32"/>
          <w:szCs w:val="32"/>
          <w:highlight w:val="none"/>
        </w:rPr>
      </w:pPr>
      <w:r>
        <w:rPr>
          <w:rFonts w:hint="eastAsia" w:ascii="宋体"/>
          <w:b/>
          <w:color w:val="auto"/>
          <w:sz w:val="32"/>
          <w:szCs w:val="32"/>
          <w:highlight w:val="none"/>
          <w:u w:val="single"/>
        </w:rPr>
        <w:t>2024</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9</w:t>
      </w:r>
      <w:r>
        <w:rPr>
          <w:rFonts w:hint="eastAsia" w:ascii="宋体"/>
          <w:b/>
          <w:color w:val="auto"/>
          <w:sz w:val="32"/>
          <w:szCs w:val="32"/>
          <w:highlight w:val="none"/>
        </w:rPr>
        <w:t>月</w:t>
      </w:r>
    </w:p>
    <w:p w14:paraId="6544E0FE">
      <w:pPr>
        <w:jc w:val="center"/>
        <w:rPr>
          <w:color w:val="auto"/>
          <w:sz w:val="44"/>
          <w:szCs w:val="44"/>
          <w:highlight w:val="none"/>
        </w:rPr>
        <w:sectPr>
          <w:headerReference r:id="rId3" w:type="default"/>
          <w:footerReference r:id="rId4" w:type="default"/>
          <w:pgSz w:w="11906" w:h="16838"/>
          <w:pgMar w:top="1134" w:right="1417" w:bottom="1134" w:left="1417" w:header="851" w:footer="992" w:gutter="0"/>
          <w:cols w:space="720" w:num="1"/>
          <w:docGrid w:type="lines" w:linePitch="312" w:charSpace="0"/>
        </w:sectPr>
      </w:pPr>
    </w:p>
    <w:p w14:paraId="7E43EC30">
      <w:pPr>
        <w:spacing w:line="700" w:lineRule="exact"/>
        <w:jc w:val="center"/>
        <w:rPr>
          <w:color w:val="auto"/>
          <w:sz w:val="44"/>
          <w:szCs w:val="44"/>
          <w:highlight w:val="none"/>
        </w:rPr>
      </w:pPr>
    </w:p>
    <w:p w14:paraId="6DD993BC">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6" w:name="_Toc144974479"/>
      <w:bookmarkStart w:id="17" w:name="_Toc152042287"/>
      <w:bookmarkStart w:id="18" w:name="_Toc179632527"/>
      <w:bookmarkStart w:id="19" w:name="_Toc152045511"/>
    </w:p>
    <w:p w14:paraId="1C99AF70">
      <w:pPr>
        <w:pStyle w:val="32"/>
        <w:tabs>
          <w:tab w:val="right" w:leader="dot" w:pos="9072"/>
        </w:tabs>
        <w:rPr>
          <w:rFonts w:hint="eastAsia" w:ascii="宋体" w:hAnsi="宋体" w:cs="宋体"/>
          <w:b w:val="0"/>
          <w:bCs w:val="0"/>
          <w:color w:val="auto"/>
          <w:sz w:val="28"/>
          <w:szCs w:val="28"/>
          <w:highlight w:val="none"/>
        </w:rPr>
      </w:pPr>
      <w:r>
        <w:rPr>
          <w:rFonts w:hint="eastAsia" w:ascii="宋体" w:hAnsi="宋体" w:cs="宋体"/>
          <w:b w:val="0"/>
          <w:bCs w:val="0"/>
          <w:caps w:val="0"/>
          <w:color w:val="auto"/>
          <w:sz w:val="28"/>
          <w:szCs w:val="28"/>
          <w:highlight w:val="none"/>
        </w:rPr>
        <w:fldChar w:fldCharType="begin"/>
      </w:r>
      <w:r>
        <w:rPr>
          <w:rFonts w:hint="eastAsia" w:ascii="宋体" w:hAnsi="宋体" w:cs="宋体"/>
          <w:b w:val="0"/>
          <w:bCs w:val="0"/>
          <w:caps w:val="0"/>
          <w:color w:val="auto"/>
          <w:sz w:val="28"/>
          <w:szCs w:val="28"/>
          <w:highlight w:val="none"/>
        </w:rPr>
        <w:instrText xml:space="preserve">TOC \o "1-1" \h \u </w:instrText>
      </w:r>
      <w:r>
        <w:rPr>
          <w:rFonts w:hint="eastAsia" w:ascii="宋体" w:hAnsi="宋体" w:cs="宋体"/>
          <w:b w:val="0"/>
          <w:bCs w:val="0"/>
          <w:caps w:val="0"/>
          <w:color w:val="auto"/>
          <w:sz w:val="28"/>
          <w:szCs w:val="28"/>
          <w:highlight w:val="none"/>
        </w:rPr>
        <w:fldChar w:fldCharType="separate"/>
      </w:r>
      <w:r>
        <w:rPr>
          <w:color w:val="auto"/>
          <w:highlight w:val="none"/>
        </w:rPr>
        <w:fldChar w:fldCharType="begin"/>
      </w:r>
      <w:r>
        <w:rPr>
          <w:color w:val="auto"/>
          <w:highlight w:val="none"/>
        </w:rPr>
        <w:instrText xml:space="preserve"> HYPERLINK \l "_Toc12261" </w:instrText>
      </w:r>
      <w:r>
        <w:rPr>
          <w:color w:val="auto"/>
          <w:highlight w:val="none"/>
        </w:rPr>
        <w:fldChar w:fldCharType="separate"/>
      </w:r>
      <w:r>
        <w:rPr>
          <w:rFonts w:hint="eastAsia" w:ascii="宋体" w:hAnsi="宋体" w:cs="宋体"/>
          <w:b w:val="0"/>
          <w:bCs w:val="0"/>
          <w:color w:val="auto"/>
          <w:sz w:val="28"/>
          <w:szCs w:val="28"/>
          <w:highlight w:val="none"/>
        </w:rPr>
        <w:t>兴全矿业办公生活区室外配电管线工程招标公告信息</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_Toc12261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1</w:t>
      </w:r>
      <w:r>
        <w:rPr>
          <w:rFonts w:hint="eastAsia" w:ascii="宋体" w:hAnsi="宋体" w:cs="宋体"/>
          <w:b w:val="0"/>
          <w:bCs w:val="0"/>
          <w:color w:val="auto"/>
          <w:sz w:val="28"/>
          <w:szCs w:val="28"/>
          <w:highlight w:val="none"/>
        </w:rPr>
        <w:fldChar w:fldCharType="end"/>
      </w:r>
      <w:r>
        <w:rPr>
          <w:rFonts w:hint="eastAsia" w:ascii="宋体" w:hAnsi="宋体" w:cs="宋体"/>
          <w:b w:val="0"/>
          <w:bCs w:val="0"/>
          <w:color w:val="auto"/>
          <w:sz w:val="28"/>
          <w:szCs w:val="28"/>
          <w:highlight w:val="none"/>
        </w:rPr>
        <w:fldChar w:fldCharType="end"/>
      </w:r>
    </w:p>
    <w:p w14:paraId="2D9BC0A8">
      <w:pPr>
        <w:pStyle w:val="32"/>
        <w:tabs>
          <w:tab w:val="right" w:leader="dot" w:pos="9072"/>
        </w:tabs>
        <w:rPr>
          <w:rFonts w:hint="eastAsia" w:ascii="宋体" w:hAnsi="宋体" w:cs="宋体"/>
          <w:b w:val="0"/>
          <w:bCs w:val="0"/>
          <w:color w:val="auto"/>
          <w:sz w:val="28"/>
          <w:szCs w:val="28"/>
          <w:highlight w:val="none"/>
        </w:rPr>
      </w:pPr>
      <w:r>
        <w:rPr>
          <w:color w:val="auto"/>
          <w:highlight w:val="none"/>
        </w:rPr>
        <w:fldChar w:fldCharType="begin"/>
      </w:r>
      <w:r>
        <w:rPr>
          <w:color w:val="auto"/>
          <w:highlight w:val="none"/>
        </w:rPr>
        <w:instrText xml:space="preserve"> HYPERLINK \l "_Toc18989" </w:instrText>
      </w:r>
      <w:r>
        <w:rPr>
          <w:color w:val="auto"/>
          <w:highlight w:val="none"/>
        </w:rPr>
        <w:fldChar w:fldCharType="separate"/>
      </w:r>
      <w:r>
        <w:rPr>
          <w:rFonts w:hint="eastAsia" w:ascii="宋体" w:hAnsi="宋体" w:cs="宋体"/>
          <w:b w:val="0"/>
          <w:bCs w:val="0"/>
          <w:color w:val="auto"/>
          <w:sz w:val="28"/>
          <w:szCs w:val="28"/>
          <w:highlight w:val="none"/>
        </w:rPr>
        <w:t>第一章  投标人须知</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_Toc18989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3</w:t>
      </w:r>
      <w:r>
        <w:rPr>
          <w:rFonts w:hint="eastAsia" w:ascii="宋体" w:hAnsi="宋体" w:cs="宋体"/>
          <w:b w:val="0"/>
          <w:bCs w:val="0"/>
          <w:color w:val="auto"/>
          <w:sz w:val="28"/>
          <w:szCs w:val="28"/>
          <w:highlight w:val="none"/>
        </w:rPr>
        <w:fldChar w:fldCharType="end"/>
      </w:r>
      <w:r>
        <w:rPr>
          <w:rFonts w:hint="eastAsia" w:ascii="宋体" w:hAnsi="宋体" w:cs="宋体"/>
          <w:b w:val="0"/>
          <w:bCs w:val="0"/>
          <w:color w:val="auto"/>
          <w:sz w:val="28"/>
          <w:szCs w:val="28"/>
          <w:highlight w:val="none"/>
        </w:rPr>
        <w:fldChar w:fldCharType="end"/>
      </w:r>
    </w:p>
    <w:p w14:paraId="14FFCA1B">
      <w:pPr>
        <w:pStyle w:val="32"/>
        <w:tabs>
          <w:tab w:val="right" w:leader="dot" w:pos="9072"/>
        </w:tabs>
        <w:rPr>
          <w:rFonts w:hint="eastAsia" w:ascii="宋体" w:hAnsi="宋体" w:cs="宋体"/>
          <w:b w:val="0"/>
          <w:bCs w:val="0"/>
          <w:color w:val="auto"/>
          <w:sz w:val="28"/>
          <w:szCs w:val="28"/>
          <w:highlight w:val="none"/>
        </w:rPr>
      </w:pPr>
      <w:r>
        <w:rPr>
          <w:color w:val="auto"/>
          <w:highlight w:val="none"/>
        </w:rPr>
        <w:fldChar w:fldCharType="begin"/>
      </w:r>
      <w:r>
        <w:rPr>
          <w:color w:val="auto"/>
          <w:highlight w:val="none"/>
        </w:rPr>
        <w:instrText xml:space="preserve"> HYPERLINK \l "_Toc5501" </w:instrText>
      </w:r>
      <w:r>
        <w:rPr>
          <w:color w:val="auto"/>
          <w:highlight w:val="none"/>
        </w:rPr>
        <w:fldChar w:fldCharType="separate"/>
      </w:r>
      <w:r>
        <w:rPr>
          <w:rFonts w:hint="eastAsia" w:ascii="宋体" w:hAnsi="宋体" w:cs="宋体"/>
          <w:b w:val="0"/>
          <w:bCs w:val="0"/>
          <w:color w:val="auto"/>
          <w:sz w:val="28"/>
          <w:szCs w:val="28"/>
          <w:highlight w:val="none"/>
        </w:rPr>
        <w:t>第二章  资格审查办法</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_Toc5501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17</w:t>
      </w:r>
      <w:r>
        <w:rPr>
          <w:rFonts w:hint="eastAsia" w:ascii="宋体" w:hAnsi="宋体" w:cs="宋体"/>
          <w:b w:val="0"/>
          <w:bCs w:val="0"/>
          <w:color w:val="auto"/>
          <w:sz w:val="28"/>
          <w:szCs w:val="28"/>
          <w:highlight w:val="none"/>
        </w:rPr>
        <w:fldChar w:fldCharType="end"/>
      </w:r>
      <w:r>
        <w:rPr>
          <w:rFonts w:hint="eastAsia" w:ascii="宋体" w:hAnsi="宋体" w:cs="宋体"/>
          <w:b w:val="0"/>
          <w:bCs w:val="0"/>
          <w:color w:val="auto"/>
          <w:sz w:val="28"/>
          <w:szCs w:val="28"/>
          <w:highlight w:val="none"/>
        </w:rPr>
        <w:fldChar w:fldCharType="end"/>
      </w:r>
    </w:p>
    <w:p w14:paraId="7787F704">
      <w:pPr>
        <w:pStyle w:val="32"/>
        <w:tabs>
          <w:tab w:val="right" w:leader="dot" w:pos="9072"/>
        </w:tabs>
        <w:rPr>
          <w:rFonts w:hint="eastAsia" w:ascii="宋体" w:hAnsi="宋体" w:cs="宋体"/>
          <w:b w:val="0"/>
          <w:bCs w:val="0"/>
          <w:color w:val="auto"/>
          <w:sz w:val="28"/>
          <w:szCs w:val="28"/>
          <w:highlight w:val="none"/>
        </w:rPr>
      </w:pPr>
      <w:r>
        <w:rPr>
          <w:color w:val="auto"/>
          <w:highlight w:val="none"/>
        </w:rPr>
        <w:fldChar w:fldCharType="begin"/>
      </w:r>
      <w:r>
        <w:rPr>
          <w:color w:val="auto"/>
          <w:highlight w:val="none"/>
        </w:rPr>
        <w:instrText xml:space="preserve"> HYPERLINK \l "_Toc1286" </w:instrText>
      </w:r>
      <w:r>
        <w:rPr>
          <w:color w:val="auto"/>
          <w:highlight w:val="none"/>
        </w:rPr>
        <w:fldChar w:fldCharType="separate"/>
      </w:r>
      <w:r>
        <w:rPr>
          <w:rFonts w:hint="eastAsia" w:ascii="宋体" w:hAnsi="宋体" w:cs="宋体"/>
          <w:b w:val="0"/>
          <w:bCs w:val="0"/>
          <w:color w:val="auto"/>
          <w:kern w:val="0"/>
          <w:sz w:val="28"/>
          <w:szCs w:val="28"/>
          <w:highlight w:val="none"/>
        </w:rPr>
        <w:t>第三章  评标办法</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_Toc1286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19</w:t>
      </w:r>
      <w:r>
        <w:rPr>
          <w:rFonts w:hint="eastAsia" w:ascii="宋体" w:hAnsi="宋体" w:cs="宋体"/>
          <w:b w:val="0"/>
          <w:bCs w:val="0"/>
          <w:color w:val="auto"/>
          <w:sz w:val="28"/>
          <w:szCs w:val="28"/>
          <w:highlight w:val="none"/>
        </w:rPr>
        <w:fldChar w:fldCharType="end"/>
      </w:r>
      <w:r>
        <w:rPr>
          <w:rFonts w:hint="eastAsia" w:ascii="宋体" w:hAnsi="宋体" w:cs="宋体"/>
          <w:b w:val="0"/>
          <w:bCs w:val="0"/>
          <w:color w:val="auto"/>
          <w:sz w:val="28"/>
          <w:szCs w:val="28"/>
          <w:highlight w:val="none"/>
        </w:rPr>
        <w:fldChar w:fldCharType="end"/>
      </w:r>
    </w:p>
    <w:p w14:paraId="6EB6B326">
      <w:pPr>
        <w:pStyle w:val="32"/>
        <w:tabs>
          <w:tab w:val="right" w:leader="dot" w:pos="9072"/>
        </w:tabs>
        <w:rPr>
          <w:rFonts w:hint="eastAsia" w:ascii="宋体" w:hAnsi="宋体" w:cs="宋体"/>
          <w:b w:val="0"/>
          <w:bCs w:val="0"/>
          <w:color w:val="auto"/>
          <w:sz w:val="28"/>
          <w:szCs w:val="28"/>
          <w:highlight w:val="none"/>
        </w:rPr>
      </w:pPr>
      <w:r>
        <w:rPr>
          <w:color w:val="auto"/>
          <w:highlight w:val="none"/>
        </w:rPr>
        <w:fldChar w:fldCharType="begin"/>
      </w:r>
      <w:r>
        <w:rPr>
          <w:color w:val="auto"/>
          <w:highlight w:val="none"/>
        </w:rPr>
        <w:instrText xml:space="preserve"> HYPERLINK \l "_Toc8750" </w:instrText>
      </w:r>
      <w:r>
        <w:rPr>
          <w:color w:val="auto"/>
          <w:highlight w:val="none"/>
        </w:rPr>
        <w:fldChar w:fldCharType="separate"/>
      </w:r>
      <w:r>
        <w:rPr>
          <w:rFonts w:hint="eastAsia" w:ascii="宋体" w:hAnsi="宋体" w:cs="宋体"/>
          <w:b w:val="0"/>
          <w:bCs w:val="0"/>
          <w:color w:val="auto"/>
          <w:kern w:val="0"/>
          <w:sz w:val="28"/>
          <w:szCs w:val="28"/>
          <w:highlight w:val="none"/>
        </w:rPr>
        <w:t>第四章  合同条款及格式</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_Toc8750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29</w:t>
      </w:r>
      <w:r>
        <w:rPr>
          <w:rFonts w:hint="eastAsia" w:ascii="宋体" w:hAnsi="宋体" w:cs="宋体"/>
          <w:b w:val="0"/>
          <w:bCs w:val="0"/>
          <w:color w:val="auto"/>
          <w:sz w:val="28"/>
          <w:szCs w:val="28"/>
          <w:highlight w:val="none"/>
        </w:rPr>
        <w:fldChar w:fldCharType="end"/>
      </w:r>
      <w:r>
        <w:rPr>
          <w:rFonts w:hint="eastAsia" w:ascii="宋体" w:hAnsi="宋体" w:cs="宋体"/>
          <w:b w:val="0"/>
          <w:bCs w:val="0"/>
          <w:color w:val="auto"/>
          <w:sz w:val="28"/>
          <w:szCs w:val="28"/>
          <w:highlight w:val="none"/>
        </w:rPr>
        <w:fldChar w:fldCharType="end"/>
      </w:r>
    </w:p>
    <w:p w14:paraId="04C2BBFF">
      <w:pPr>
        <w:pStyle w:val="32"/>
        <w:tabs>
          <w:tab w:val="right" w:leader="dot" w:pos="9072"/>
        </w:tabs>
        <w:rPr>
          <w:rFonts w:hint="eastAsia" w:ascii="宋体" w:hAnsi="宋体" w:cs="宋体"/>
          <w:b w:val="0"/>
          <w:bCs w:val="0"/>
          <w:color w:val="auto"/>
          <w:sz w:val="28"/>
          <w:szCs w:val="28"/>
          <w:highlight w:val="none"/>
        </w:rPr>
      </w:pPr>
      <w:r>
        <w:rPr>
          <w:color w:val="auto"/>
          <w:highlight w:val="none"/>
        </w:rPr>
        <w:fldChar w:fldCharType="begin"/>
      </w:r>
      <w:r>
        <w:rPr>
          <w:color w:val="auto"/>
          <w:highlight w:val="none"/>
        </w:rPr>
        <w:instrText xml:space="preserve"> HYPERLINK \l "_Toc3388" </w:instrText>
      </w:r>
      <w:r>
        <w:rPr>
          <w:color w:val="auto"/>
          <w:highlight w:val="none"/>
        </w:rPr>
        <w:fldChar w:fldCharType="separate"/>
      </w:r>
      <w:r>
        <w:rPr>
          <w:rFonts w:hint="eastAsia" w:ascii="宋体" w:hAnsi="宋体" w:cs="宋体"/>
          <w:b w:val="0"/>
          <w:bCs w:val="0"/>
          <w:color w:val="auto"/>
          <w:sz w:val="28"/>
          <w:szCs w:val="28"/>
          <w:highlight w:val="none"/>
        </w:rPr>
        <w:t>第五章  工程量清单</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_Toc3388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66</w:t>
      </w:r>
      <w:r>
        <w:rPr>
          <w:rFonts w:hint="eastAsia" w:ascii="宋体" w:hAnsi="宋体" w:cs="宋体"/>
          <w:b w:val="0"/>
          <w:bCs w:val="0"/>
          <w:color w:val="auto"/>
          <w:sz w:val="28"/>
          <w:szCs w:val="28"/>
          <w:highlight w:val="none"/>
        </w:rPr>
        <w:fldChar w:fldCharType="end"/>
      </w:r>
      <w:r>
        <w:rPr>
          <w:rFonts w:hint="eastAsia" w:ascii="宋体" w:hAnsi="宋体" w:cs="宋体"/>
          <w:b w:val="0"/>
          <w:bCs w:val="0"/>
          <w:color w:val="auto"/>
          <w:sz w:val="28"/>
          <w:szCs w:val="28"/>
          <w:highlight w:val="none"/>
        </w:rPr>
        <w:fldChar w:fldCharType="end"/>
      </w:r>
    </w:p>
    <w:p w14:paraId="3278C48C">
      <w:pPr>
        <w:pStyle w:val="32"/>
        <w:tabs>
          <w:tab w:val="right" w:leader="dot" w:pos="9072"/>
        </w:tabs>
        <w:rPr>
          <w:rFonts w:hint="eastAsia" w:ascii="宋体" w:hAnsi="宋体" w:cs="宋体"/>
          <w:b w:val="0"/>
          <w:bCs w:val="0"/>
          <w:color w:val="auto"/>
          <w:sz w:val="28"/>
          <w:szCs w:val="28"/>
          <w:highlight w:val="none"/>
        </w:rPr>
      </w:pPr>
      <w:r>
        <w:rPr>
          <w:color w:val="auto"/>
          <w:highlight w:val="none"/>
        </w:rPr>
        <w:fldChar w:fldCharType="begin"/>
      </w:r>
      <w:r>
        <w:rPr>
          <w:color w:val="auto"/>
          <w:highlight w:val="none"/>
        </w:rPr>
        <w:instrText xml:space="preserve"> HYPERLINK \l "_Toc25013" </w:instrText>
      </w:r>
      <w:r>
        <w:rPr>
          <w:color w:val="auto"/>
          <w:highlight w:val="none"/>
        </w:rPr>
        <w:fldChar w:fldCharType="separate"/>
      </w:r>
      <w:r>
        <w:rPr>
          <w:rFonts w:hint="eastAsia" w:ascii="宋体" w:hAnsi="宋体" w:cs="宋体"/>
          <w:b w:val="0"/>
          <w:bCs w:val="0"/>
          <w:color w:val="auto"/>
          <w:sz w:val="28"/>
          <w:szCs w:val="28"/>
          <w:highlight w:val="none"/>
        </w:rPr>
        <w:t>第六章  图纸</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_Toc25013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70</w:t>
      </w:r>
      <w:r>
        <w:rPr>
          <w:rFonts w:hint="eastAsia" w:ascii="宋体" w:hAnsi="宋体" w:cs="宋体"/>
          <w:b w:val="0"/>
          <w:bCs w:val="0"/>
          <w:color w:val="auto"/>
          <w:sz w:val="28"/>
          <w:szCs w:val="28"/>
          <w:highlight w:val="none"/>
        </w:rPr>
        <w:fldChar w:fldCharType="end"/>
      </w:r>
      <w:r>
        <w:rPr>
          <w:rFonts w:hint="eastAsia" w:ascii="宋体" w:hAnsi="宋体" w:cs="宋体"/>
          <w:b w:val="0"/>
          <w:bCs w:val="0"/>
          <w:color w:val="auto"/>
          <w:sz w:val="28"/>
          <w:szCs w:val="28"/>
          <w:highlight w:val="none"/>
        </w:rPr>
        <w:fldChar w:fldCharType="end"/>
      </w:r>
    </w:p>
    <w:p w14:paraId="28C6CC4E">
      <w:pPr>
        <w:pStyle w:val="32"/>
        <w:tabs>
          <w:tab w:val="right" w:leader="dot" w:pos="9072"/>
        </w:tabs>
        <w:rPr>
          <w:rFonts w:hint="eastAsia" w:ascii="宋体" w:hAnsi="宋体" w:cs="宋体"/>
          <w:b w:val="0"/>
          <w:bCs w:val="0"/>
          <w:color w:val="auto"/>
          <w:sz w:val="28"/>
          <w:szCs w:val="28"/>
          <w:highlight w:val="none"/>
        </w:rPr>
      </w:pPr>
      <w:r>
        <w:rPr>
          <w:color w:val="auto"/>
          <w:highlight w:val="none"/>
        </w:rPr>
        <w:fldChar w:fldCharType="begin"/>
      </w:r>
      <w:r>
        <w:rPr>
          <w:color w:val="auto"/>
          <w:highlight w:val="none"/>
        </w:rPr>
        <w:instrText xml:space="preserve"> HYPERLINK \l "_Toc8272" </w:instrText>
      </w:r>
      <w:r>
        <w:rPr>
          <w:color w:val="auto"/>
          <w:highlight w:val="none"/>
        </w:rPr>
        <w:fldChar w:fldCharType="separate"/>
      </w:r>
      <w:r>
        <w:rPr>
          <w:rFonts w:hint="eastAsia" w:ascii="宋体" w:hAnsi="宋体" w:cs="宋体"/>
          <w:b w:val="0"/>
          <w:bCs w:val="0"/>
          <w:color w:val="auto"/>
          <w:sz w:val="28"/>
          <w:szCs w:val="28"/>
          <w:highlight w:val="none"/>
        </w:rPr>
        <w:t>第七章  投标文件格式</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_Toc8272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71</w:t>
      </w:r>
      <w:r>
        <w:rPr>
          <w:rFonts w:hint="eastAsia" w:ascii="宋体" w:hAnsi="宋体" w:cs="宋体"/>
          <w:b w:val="0"/>
          <w:bCs w:val="0"/>
          <w:color w:val="auto"/>
          <w:sz w:val="28"/>
          <w:szCs w:val="28"/>
          <w:highlight w:val="none"/>
        </w:rPr>
        <w:fldChar w:fldCharType="end"/>
      </w:r>
      <w:r>
        <w:rPr>
          <w:rFonts w:hint="eastAsia" w:ascii="宋体" w:hAnsi="宋体" w:cs="宋体"/>
          <w:b w:val="0"/>
          <w:bCs w:val="0"/>
          <w:color w:val="auto"/>
          <w:sz w:val="28"/>
          <w:szCs w:val="28"/>
          <w:highlight w:val="none"/>
        </w:rPr>
        <w:fldChar w:fldCharType="end"/>
      </w:r>
    </w:p>
    <w:p w14:paraId="77833F52">
      <w:pPr>
        <w:pStyle w:val="32"/>
        <w:tabs>
          <w:tab w:val="right" w:leader="dot" w:pos="9072"/>
        </w:tabs>
        <w:rPr>
          <w:rFonts w:hint="eastAsia" w:ascii="宋体" w:hAnsi="宋体" w:cs="宋体"/>
          <w:b w:val="0"/>
          <w:bCs w:val="0"/>
          <w:color w:val="auto"/>
          <w:sz w:val="28"/>
          <w:szCs w:val="28"/>
          <w:highlight w:val="none"/>
        </w:rPr>
      </w:pPr>
      <w:r>
        <w:rPr>
          <w:color w:val="auto"/>
          <w:highlight w:val="none"/>
        </w:rPr>
        <w:fldChar w:fldCharType="begin"/>
      </w:r>
      <w:r>
        <w:rPr>
          <w:color w:val="auto"/>
          <w:highlight w:val="none"/>
        </w:rPr>
        <w:instrText xml:space="preserve"> HYPERLINK \l "_Toc29114" </w:instrText>
      </w:r>
      <w:r>
        <w:rPr>
          <w:color w:val="auto"/>
          <w:highlight w:val="none"/>
        </w:rPr>
        <w:fldChar w:fldCharType="separate"/>
      </w:r>
      <w:r>
        <w:rPr>
          <w:rFonts w:hint="eastAsia" w:ascii="宋体" w:hAnsi="宋体" w:cs="宋体"/>
          <w:b w:val="0"/>
          <w:bCs w:val="0"/>
          <w:color w:val="auto"/>
          <w:sz w:val="28"/>
          <w:szCs w:val="28"/>
          <w:highlight w:val="none"/>
        </w:rPr>
        <w:t>第八章  招标单位、招标代理机构对本招标文件的确认</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_Toc29114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81</w:t>
      </w:r>
      <w:r>
        <w:rPr>
          <w:rFonts w:hint="eastAsia" w:ascii="宋体" w:hAnsi="宋体" w:cs="宋体"/>
          <w:b w:val="0"/>
          <w:bCs w:val="0"/>
          <w:color w:val="auto"/>
          <w:sz w:val="28"/>
          <w:szCs w:val="28"/>
          <w:highlight w:val="none"/>
        </w:rPr>
        <w:fldChar w:fldCharType="end"/>
      </w:r>
      <w:r>
        <w:rPr>
          <w:rFonts w:hint="eastAsia" w:ascii="宋体" w:hAnsi="宋体" w:cs="宋体"/>
          <w:b w:val="0"/>
          <w:bCs w:val="0"/>
          <w:color w:val="auto"/>
          <w:sz w:val="28"/>
          <w:szCs w:val="28"/>
          <w:highlight w:val="none"/>
        </w:rPr>
        <w:fldChar w:fldCharType="end"/>
      </w:r>
    </w:p>
    <w:p w14:paraId="3C130FD7">
      <w:pPr>
        <w:pStyle w:val="32"/>
        <w:tabs>
          <w:tab w:val="right" w:leader="dot" w:pos="9062"/>
        </w:tabs>
        <w:spacing w:line="700" w:lineRule="exact"/>
        <w:ind w:firstLine="560" w:firstLineChars="200"/>
        <w:rPr>
          <w:rFonts w:hint="eastAsia" w:ascii="宋体" w:hAnsi="宋体" w:cs="宋体"/>
          <w:b w:val="0"/>
          <w:bCs w:val="0"/>
          <w:caps w:val="0"/>
          <w:color w:val="auto"/>
          <w:sz w:val="24"/>
          <w:szCs w:val="24"/>
          <w:highlight w:val="none"/>
        </w:rPr>
      </w:pPr>
      <w:r>
        <w:rPr>
          <w:rFonts w:hint="eastAsia" w:ascii="宋体" w:hAnsi="宋体" w:cs="宋体"/>
          <w:b w:val="0"/>
          <w:bCs w:val="0"/>
          <w:caps w:val="0"/>
          <w:color w:val="auto"/>
          <w:sz w:val="28"/>
          <w:szCs w:val="28"/>
          <w:highlight w:val="none"/>
        </w:rPr>
        <w:fldChar w:fldCharType="end"/>
      </w:r>
    </w:p>
    <w:p w14:paraId="6D928196">
      <w:pPr>
        <w:pStyle w:val="2"/>
        <w:spacing w:line="700" w:lineRule="exact"/>
        <w:ind w:left="0" w:leftChars="0" w:firstLine="480"/>
        <w:jc w:val="left"/>
        <w:rPr>
          <w:color w:val="auto"/>
          <w:sz w:val="24"/>
          <w:szCs w:val="24"/>
          <w:highlight w:val="none"/>
        </w:rPr>
      </w:pPr>
    </w:p>
    <w:p w14:paraId="40B47B9A">
      <w:pPr>
        <w:pStyle w:val="44"/>
        <w:spacing w:line="700" w:lineRule="exact"/>
        <w:jc w:val="left"/>
        <w:rPr>
          <w:color w:val="auto"/>
          <w:sz w:val="24"/>
          <w:szCs w:val="24"/>
          <w:highlight w:val="none"/>
        </w:rPr>
        <w:sectPr>
          <w:footerReference r:id="rId5" w:type="default"/>
          <w:pgSz w:w="11906" w:h="16838"/>
          <w:pgMar w:top="1134" w:right="1417" w:bottom="1134" w:left="1417" w:header="851" w:footer="992" w:gutter="0"/>
          <w:pgNumType w:start="1"/>
          <w:cols w:space="720" w:num="1"/>
          <w:docGrid w:type="lines" w:linePitch="312" w:charSpace="0"/>
        </w:sectPr>
      </w:pPr>
    </w:p>
    <w:bookmarkEnd w:id="16"/>
    <w:bookmarkEnd w:id="17"/>
    <w:bookmarkEnd w:id="18"/>
    <w:bookmarkEnd w:id="19"/>
    <w:p w14:paraId="3F911158">
      <w:pPr>
        <w:pStyle w:val="44"/>
        <w:spacing w:before="120" w:beforeLines="50" w:after="120" w:afterLines="50" w:line="400" w:lineRule="exact"/>
        <w:rPr>
          <w:bCs/>
          <w:color w:val="auto"/>
          <w:szCs w:val="32"/>
          <w:highlight w:val="none"/>
        </w:rPr>
      </w:pPr>
      <w:bookmarkStart w:id="20" w:name="_Toc12261"/>
      <w:bookmarkStart w:id="21" w:name="_Toc21980"/>
      <w:bookmarkStart w:id="22" w:name="_Toc78803320"/>
      <w:bookmarkStart w:id="23" w:name="_Toc35425050"/>
      <w:bookmarkStart w:id="24" w:name="_Toc15058844"/>
      <w:bookmarkStart w:id="25" w:name="_Toc506107267"/>
      <w:bookmarkStart w:id="26" w:name="_Toc35424883"/>
      <w:bookmarkStart w:id="27" w:name="_Toc246996173"/>
      <w:bookmarkStart w:id="28" w:name="_Toc144974495"/>
      <w:bookmarkStart w:id="29" w:name="_Toc152042303"/>
      <w:bookmarkStart w:id="30" w:name="_Toc179632544"/>
      <w:bookmarkStart w:id="31" w:name="_Toc247085687"/>
      <w:bookmarkStart w:id="32" w:name="_Toc152045527"/>
      <w:bookmarkStart w:id="33" w:name="_Toc324404813"/>
      <w:bookmarkStart w:id="34" w:name="_Toc246996916"/>
      <w:r>
        <w:rPr>
          <w:rFonts w:hint="eastAsia"/>
          <w:bCs/>
          <w:color w:val="auto"/>
          <w:szCs w:val="32"/>
          <w:highlight w:val="none"/>
        </w:rPr>
        <w:t>兴全矿业办公生活区室外配电管线工程招标公告信息</w:t>
      </w:r>
      <w:bookmarkEnd w:id="20"/>
      <w:bookmarkEnd w:id="21"/>
      <w:bookmarkEnd w:id="22"/>
    </w:p>
    <w:tbl>
      <w:tblPr>
        <w:tblStyle w:val="47"/>
        <w:tblW w:w="958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511"/>
        <w:gridCol w:w="50"/>
        <w:gridCol w:w="2616"/>
        <w:gridCol w:w="513"/>
        <w:gridCol w:w="1977"/>
        <w:gridCol w:w="2916"/>
      </w:tblGrid>
      <w:tr w14:paraId="0E06473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3FF9028">
            <w:pPr>
              <w:autoSpaceDE w:val="0"/>
              <w:spacing w:line="300" w:lineRule="exact"/>
              <w:rPr>
                <w:rFonts w:hint="eastAsia" w:ascii="宋体" w:hAnsi="宋体" w:cs="宋体"/>
                <w:bCs/>
                <w:color w:val="auto"/>
                <w:kern w:val="1"/>
                <w:szCs w:val="21"/>
                <w:highlight w:val="none"/>
              </w:rPr>
            </w:pPr>
            <w:bookmarkStart w:id="35" w:name="_Toc78803321"/>
            <w:r>
              <w:rPr>
                <w:rFonts w:hint="eastAsia" w:ascii="宋体" w:hAnsi="宋体" w:cs="宋体"/>
                <w:bCs/>
                <w:color w:val="auto"/>
                <w:kern w:val="1"/>
                <w:szCs w:val="21"/>
                <w:highlight w:val="none"/>
                <w:lang w:bidi="ar"/>
              </w:rPr>
              <w:t>招标项目名称</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1F4E0E91">
            <w:pPr>
              <w:autoSpaceDE w:val="0"/>
              <w:spacing w:line="300" w:lineRule="exact"/>
              <w:rPr>
                <w:rFonts w:hint="eastAsia" w:ascii="宋体" w:hAnsi="宋体" w:cs="宋体"/>
                <w:bCs/>
                <w:color w:val="auto"/>
                <w:kern w:val="1"/>
                <w:szCs w:val="21"/>
                <w:highlight w:val="none"/>
              </w:rPr>
            </w:pPr>
            <w:r>
              <w:rPr>
                <w:rFonts w:hint="eastAsia" w:ascii="宋体" w:hAnsi="宋体" w:cs="宋体"/>
                <w:bCs/>
                <w:color w:val="auto"/>
                <w:kern w:val="1"/>
                <w:szCs w:val="21"/>
                <w:highlight w:val="none"/>
              </w:rPr>
              <w:t>兴全矿业办公生活区室外配电管线工程</w:t>
            </w:r>
          </w:p>
        </w:tc>
      </w:tr>
      <w:tr w14:paraId="507FEE9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69B59EB">
            <w:pPr>
              <w:widowControl/>
              <w:autoSpaceDE w:val="0"/>
              <w:spacing w:line="3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招标方式</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0F538883">
            <w:pPr>
              <w:widowControl/>
              <w:autoSpaceDE w:val="0"/>
              <w:spacing w:line="3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公开招标</w:t>
            </w:r>
          </w:p>
        </w:tc>
      </w:tr>
      <w:tr w14:paraId="6B292E8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A40ADB1">
            <w:pPr>
              <w:widowControl/>
              <w:autoSpaceDE w:val="0"/>
              <w:spacing w:line="3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投标资质要求</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067C137B">
            <w:pPr>
              <w:widowControl/>
              <w:autoSpaceDE w:val="0"/>
              <w:spacing w:line="440" w:lineRule="exact"/>
              <w:jc w:val="left"/>
              <w:rPr>
                <w:rFonts w:hint="eastAsia" w:ascii="宋体" w:hAnsi="宋体" w:eastAsia="宋体" w:cs="宋体"/>
                <w:bCs/>
                <w:color w:val="auto"/>
                <w:kern w:val="0"/>
                <w:szCs w:val="21"/>
                <w:highlight w:val="none"/>
                <w:lang w:bidi="ar"/>
              </w:rPr>
            </w:pPr>
            <w:r>
              <w:rPr>
                <w:rFonts w:hint="eastAsia" w:ascii="宋体" w:hAnsi="宋体" w:cs="宋体"/>
                <w:bCs/>
                <w:color w:val="auto"/>
                <w:kern w:val="0"/>
                <w:szCs w:val="21"/>
                <w:highlight w:val="none"/>
                <w:lang w:bidi="ar"/>
              </w:rPr>
              <w:t>1、投标人要求：须</w:t>
            </w:r>
            <w:r>
              <w:rPr>
                <w:rFonts w:hint="eastAsia" w:ascii="宋体" w:hAnsi="宋体" w:eastAsia="宋体" w:cs="宋体"/>
                <w:bCs/>
                <w:color w:val="auto"/>
                <w:kern w:val="0"/>
                <w:szCs w:val="21"/>
                <w:highlight w:val="none"/>
                <w:lang w:bidi="ar"/>
              </w:rPr>
              <w:t>满足下列条件之一：</w:t>
            </w:r>
          </w:p>
          <w:p w14:paraId="7C76F58D">
            <w:pPr>
              <w:widowControl/>
              <w:autoSpaceDE w:val="0"/>
              <w:spacing w:line="440" w:lineRule="exact"/>
              <w:jc w:val="left"/>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①同时具有电力工程施工总承包三级（或以上）资质和承装（修、试）电力设施许可证（承装类五级、承修类五级、承试类五级）（或以上）资质，并具有有效的安全生产许可证。</w:t>
            </w:r>
          </w:p>
          <w:p w14:paraId="6C1F0834">
            <w:pPr>
              <w:widowControl/>
              <w:autoSpaceDE w:val="0"/>
              <w:spacing w:line="440" w:lineRule="exact"/>
              <w:jc w:val="left"/>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②同时具有输变电工程专业承包三级（或以上）资质和承装（修、试）电力设施许可证（承装类五级、承修类五级、承试类五级）（或以上）资质，并具有有效的安全生产许可证。</w:t>
            </w:r>
          </w:p>
          <w:p w14:paraId="43F01F4D">
            <w:pPr>
              <w:widowControl/>
              <w:autoSpaceDE w:val="0"/>
              <w:spacing w:line="440" w:lineRule="exact"/>
              <w:jc w:val="left"/>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lang w:bidi="ar"/>
              </w:rPr>
              <w:t>2、项目经理（建造师）要求：具有注册在投标单位的机电工程专业二级（或以上）注册建造师资格，且具备有效的安全生产考核合格(B类)证书。</w:t>
            </w:r>
            <w:bookmarkStart w:id="1062" w:name="_GoBack"/>
            <w:bookmarkEnd w:id="1062"/>
          </w:p>
        </w:tc>
      </w:tr>
      <w:tr w14:paraId="712D0E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4"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978CC4E">
            <w:pPr>
              <w:widowControl/>
              <w:autoSpaceDE w:val="0"/>
              <w:spacing w:line="3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是否接受联合体投标</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C10E438">
            <w:pPr>
              <w:widowControl/>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不接受</w:t>
            </w:r>
          </w:p>
        </w:tc>
      </w:tr>
      <w:tr w14:paraId="4C12365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47A12C1">
            <w:pPr>
              <w:widowControl/>
              <w:autoSpaceDE w:val="0"/>
              <w:spacing w:line="3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招标项目规模</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020DA1F5">
            <w:pPr>
              <w:widowControl/>
              <w:autoSpaceDE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估算价约</w:t>
            </w:r>
            <w:r>
              <w:rPr>
                <w:rFonts w:hint="eastAsia" w:ascii="宋体" w:hAnsi="宋体" w:cs="宋体"/>
                <w:color w:val="auto"/>
                <w:kern w:val="0"/>
                <w:szCs w:val="21"/>
                <w:highlight w:val="none"/>
                <w:lang w:bidi="ar"/>
              </w:rPr>
              <w:t>95</w:t>
            </w:r>
            <w:r>
              <w:rPr>
                <w:rFonts w:hint="eastAsia" w:ascii="宋体" w:hAnsi="宋体" w:cs="宋体"/>
                <w:color w:val="auto"/>
                <w:kern w:val="0"/>
                <w:szCs w:val="21"/>
                <w:highlight w:val="none"/>
                <w:lang w:bidi="ar"/>
              </w:rPr>
              <w:t>万元</w:t>
            </w:r>
          </w:p>
        </w:tc>
      </w:tr>
      <w:tr w14:paraId="72A3397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0504EE7">
            <w:pPr>
              <w:widowControl/>
              <w:autoSpaceDE w:val="0"/>
              <w:spacing w:line="3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招标项目内容范围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216A53B0">
            <w:pPr>
              <w:widowControl/>
              <w:autoSpaceDE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招标人提供的全套设计施工图纸及工程量清单中的全部内容</w:t>
            </w:r>
          </w:p>
        </w:tc>
      </w:tr>
      <w:tr w14:paraId="22432C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6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BA9C058">
            <w:pPr>
              <w:widowControl/>
              <w:autoSpaceDE w:val="0"/>
              <w:spacing w:line="3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招标公告发布时间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268F3554">
            <w:pPr>
              <w:widowControl/>
              <w:autoSpaceDE w:val="0"/>
              <w:spacing w:line="440" w:lineRule="exact"/>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lang w:bidi="ar"/>
              </w:rPr>
              <w:t>2024年</w:t>
            </w:r>
            <w:r>
              <w:rPr>
                <w:rFonts w:hint="eastAsia" w:ascii="宋体" w:hAnsi="宋体" w:cs="宋体"/>
                <w:b/>
                <w:bCs/>
                <w:color w:val="auto"/>
                <w:kern w:val="0"/>
                <w:szCs w:val="21"/>
                <w:highlight w:val="none"/>
                <w:lang w:val="en-US" w:eastAsia="zh-CN" w:bidi="ar"/>
              </w:rPr>
              <w:t>9</w:t>
            </w:r>
            <w:r>
              <w:rPr>
                <w:rFonts w:hint="eastAsia" w:ascii="宋体" w:hAnsi="宋体" w:cs="宋体"/>
                <w:b/>
                <w:bCs/>
                <w:color w:val="auto"/>
                <w:kern w:val="0"/>
                <w:szCs w:val="21"/>
                <w:highlight w:val="none"/>
                <w:lang w:bidi="ar"/>
              </w:rPr>
              <w:t>月</w:t>
            </w:r>
            <w:r>
              <w:rPr>
                <w:rFonts w:hint="eastAsia" w:ascii="宋体" w:hAnsi="宋体" w:cs="宋体"/>
                <w:b/>
                <w:bCs/>
                <w:color w:val="auto"/>
                <w:kern w:val="0"/>
                <w:szCs w:val="21"/>
                <w:highlight w:val="none"/>
                <w:lang w:val="en-US" w:eastAsia="zh-CN" w:bidi="ar"/>
              </w:rPr>
              <w:t>6</w:t>
            </w:r>
            <w:r>
              <w:rPr>
                <w:rFonts w:hint="eastAsia" w:ascii="宋体" w:hAnsi="宋体" w:cs="宋体"/>
                <w:b/>
                <w:bCs/>
                <w:color w:val="auto"/>
                <w:kern w:val="0"/>
                <w:szCs w:val="21"/>
                <w:highlight w:val="none"/>
                <w:lang w:bidi="ar"/>
              </w:rPr>
              <w:t>日</w:t>
            </w:r>
          </w:p>
        </w:tc>
      </w:tr>
      <w:tr w14:paraId="3244EF3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17E81ED">
            <w:pPr>
              <w:widowControl/>
              <w:autoSpaceDE w:val="0"/>
              <w:spacing w:line="300" w:lineRule="exact"/>
              <w:jc w:val="left"/>
              <w:rPr>
                <w:rFonts w:hint="eastAsia" w:ascii="宋体" w:hAnsi="宋体" w:cs="宋体"/>
                <w:color w:val="auto"/>
                <w:kern w:val="0"/>
                <w:szCs w:val="21"/>
                <w:highlight w:val="none"/>
              </w:rPr>
            </w:pPr>
            <w:r>
              <w:rPr>
                <w:rFonts w:hint="eastAsia" w:ascii="宋体" w:hAnsi="宋体" w:cs="宋体"/>
                <w:color w:val="auto"/>
                <w:szCs w:val="21"/>
                <w:highlight w:val="none"/>
                <w:lang w:bidi="ar"/>
              </w:rPr>
              <w:t>递交投标文件的截止时间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2A26E663">
            <w:pPr>
              <w:widowControl/>
              <w:autoSpaceDE w:val="0"/>
              <w:spacing w:line="440" w:lineRule="exact"/>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lang w:bidi="ar"/>
              </w:rPr>
              <w:t>2024年9月</w:t>
            </w:r>
            <w:r>
              <w:rPr>
                <w:rFonts w:hint="eastAsia" w:ascii="宋体" w:hAnsi="宋体" w:cs="宋体"/>
                <w:b/>
                <w:bCs/>
                <w:color w:val="auto"/>
                <w:kern w:val="0"/>
                <w:szCs w:val="21"/>
                <w:highlight w:val="none"/>
                <w:lang w:val="en-US" w:eastAsia="zh-CN" w:bidi="ar"/>
              </w:rPr>
              <w:t>11</w:t>
            </w:r>
            <w:r>
              <w:rPr>
                <w:rFonts w:hint="eastAsia" w:ascii="宋体" w:hAnsi="宋体" w:cs="宋体"/>
                <w:b/>
                <w:bCs/>
                <w:color w:val="auto"/>
                <w:kern w:val="0"/>
                <w:szCs w:val="21"/>
                <w:highlight w:val="none"/>
                <w:lang w:bidi="ar"/>
              </w:rPr>
              <w:t>日</w:t>
            </w:r>
            <w:r>
              <w:rPr>
                <w:rFonts w:hint="eastAsia" w:ascii="宋体" w:hAnsi="宋体" w:cs="宋体"/>
                <w:b/>
                <w:bCs/>
                <w:color w:val="auto"/>
                <w:kern w:val="0"/>
                <w:szCs w:val="21"/>
                <w:highlight w:val="none"/>
                <w:lang w:val="en-US" w:eastAsia="zh-CN" w:bidi="ar"/>
              </w:rPr>
              <w:t>15</w:t>
            </w:r>
            <w:r>
              <w:rPr>
                <w:rFonts w:hint="eastAsia" w:ascii="宋体" w:hAnsi="宋体" w:cs="宋体"/>
                <w:b/>
                <w:bCs/>
                <w:color w:val="auto"/>
                <w:kern w:val="0"/>
                <w:szCs w:val="21"/>
                <w:highlight w:val="none"/>
                <w:lang w:bidi="ar"/>
              </w:rPr>
              <w:t>时(北京时间)</w:t>
            </w:r>
          </w:p>
        </w:tc>
      </w:tr>
      <w:tr w14:paraId="79F9E8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47E09BF">
            <w:pPr>
              <w:widowControl/>
              <w:autoSpaceDE w:val="0"/>
              <w:spacing w:line="3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投标文件递交的方式</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7DCA8CF">
            <w:pPr>
              <w:widowControl/>
              <w:autoSpaceDE w:val="0"/>
              <w:spacing w:line="440" w:lineRule="exact"/>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网上递交，发送至电子邮箱：czsctgczx@163.com（滁州市城投工程咨询管理有限公司邮箱）</w:t>
            </w:r>
          </w:p>
        </w:tc>
      </w:tr>
      <w:tr w14:paraId="43F6572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BE6A6DE">
            <w:pPr>
              <w:widowControl/>
              <w:autoSpaceDE w:val="0"/>
              <w:spacing w:line="300" w:lineRule="exact"/>
              <w:jc w:val="left"/>
              <w:rPr>
                <w:rFonts w:hint="eastAsia" w:ascii="宋体" w:hAnsi="宋体" w:cs="宋体"/>
                <w:color w:val="auto"/>
                <w:kern w:val="0"/>
                <w:szCs w:val="21"/>
                <w:highlight w:val="none"/>
              </w:rPr>
            </w:pPr>
            <w:r>
              <w:rPr>
                <w:rFonts w:hint="eastAsia" w:ascii="宋体" w:hAnsi="宋体" w:cs="宋体"/>
                <w:color w:val="auto"/>
                <w:szCs w:val="21"/>
                <w:highlight w:val="none"/>
                <w:lang w:bidi="ar"/>
              </w:rPr>
              <w:t>开标时间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1ED5DD88">
            <w:pPr>
              <w:widowControl/>
              <w:autoSpaceDE w:val="0"/>
              <w:spacing w:line="440" w:lineRule="exact"/>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lang w:bidi="ar"/>
              </w:rPr>
              <w:t>2024年9月</w:t>
            </w:r>
            <w:r>
              <w:rPr>
                <w:rFonts w:hint="eastAsia" w:ascii="宋体" w:hAnsi="宋体" w:cs="宋体"/>
                <w:b/>
                <w:bCs/>
                <w:color w:val="auto"/>
                <w:kern w:val="0"/>
                <w:szCs w:val="21"/>
                <w:highlight w:val="none"/>
                <w:lang w:val="en-US" w:eastAsia="zh-CN" w:bidi="ar"/>
              </w:rPr>
              <w:t>11</w:t>
            </w:r>
            <w:r>
              <w:rPr>
                <w:rFonts w:hint="eastAsia" w:ascii="宋体" w:hAnsi="宋体" w:cs="宋体"/>
                <w:b/>
                <w:bCs/>
                <w:color w:val="auto"/>
                <w:kern w:val="0"/>
                <w:szCs w:val="21"/>
                <w:highlight w:val="none"/>
                <w:lang w:bidi="ar"/>
              </w:rPr>
              <w:t>日</w:t>
            </w:r>
            <w:r>
              <w:rPr>
                <w:rFonts w:hint="eastAsia" w:ascii="宋体" w:hAnsi="宋体" w:cs="宋体"/>
                <w:b/>
                <w:bCs/>
                <w:color w:val="auto"/>
                <w:kern w:val="0"/>
                <w:szCs w:val="21"/>
                <w:highlight w:val="none"/>
                <w:lang w:val="en-US" w:eastAsia="zh-CN" w:bidi="ar"/>
              </w:rPr>
              <w:t>15</w:t>
            </w:r>
            <w:r>
              <w:rPr>
                <w:rFonts w:hint="eastAsia" w:ascii="宋体" w:hAnsi="宋体" w:cs="宋体"/>
                <w:b/>
                <w:bCs/>
                <w:color w:val="auto"/>
                <w:kern w:val="0"/>
                <w:szCs w:val="21"/>
                <w:highlight w:val="none"/>
                <w:lang w:bidi="ar"/>
              </w:rPr>
              <w:t>时(北京时间)</w:t>
            </w:r>
          </w:p>
        </w:tc>
      </w:tr>
      <w:tr w14:paraId="251F4C5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676C61C">
            <w:pPr>
              <w:widowControl/>
              <w:autoSpaceDE w:val="0"/>
              <w:spacing w:line="300" w:lineRule="exact"/>
              <w:jc w:val="left"/>
              <w:rPr>
                <w:rFonts w:hint="eastAsia" w:ascii="宋体" w:hAnsi="宋体" w:cs="宋体"/>
                <w:color w:val="auto"/>
                <w:kern w:val="0"/>
                <w:szCs w:val="21"/>
                <w:highlight w:val="none"/>
              </w:rPr>
            </w:pPr>
            <w:r>
              <w:rPr>
                <w:rFonts w:hint="eastAsia" w:ascii="宋体" w:hAnsi="宋体" w:cs="宋体"/>
                <w:color w:val="auto"/>
                <w:szCs w:val="21"/>
                <w:highlight w:val="none"/>
                <w:lang w:bidi="ar"/>
              </w:rPr>
              <w:t>开标地点</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4DBE48A0">
            <w:pPr>
              <w:widowControl/>
              <w:autoSpaceDE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滁州市龙蟠大道109号房产商务大厦6楼622会议室</w:t>
            </w:r>
          </w:p>
        </w:tc>
      </w:tr>
      <w:tr w14:paraId="5BB2AE0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F1BECA0">
            <w:pPr>
              <w:widowControl/>
              <w:autoSpaceDE w:val="0"/>
              <w:spacing w:line="300" w:lineRule="exact"/>
              <w:jc w:val="left"/>
              <w:rPr>
                <w:rFonts w:hint="eastAsia" w:ascii="宋体" w:hAnsi="宋体" w:cs="宋体"/>
                <w:color w:val="auto"/>
                <w:kern w:val="0"/>
                <w:szCs w:val="21"/>
                <w:highlight w:val="none"/>
              </w:rPr>
            </w:pPr>
            <w:r>
              <w:rPr>
                <w:rFonts w:hint="eastAsia" w:ascii="宋体" w:hAnsi="宋体" w:cs="宋体"/>
                <w:color w:val="auto"/>
                <w:szCs w:val="21"/>
                <w:highlight w:val="none"/>
                <w:lang w:bidi="ar"/>
              </w:rPr>
              <w:t>招标文件售价</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4F3DDDAE">
            <w:pPr>
              <w:widowControl/>
              <w:autoSpaceDE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0元</w:t>
            </w:r>
          </w:p>
        </w:tc>
      </w:tr>
      <w:tr w14:paraId="55EC6D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08485437">
            <w:pPr>
              <w:autoSpaceDE w:val="0"/>
              <w:spacing w:line="3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信  息  内  容</w:t>
            </w:r>
          </w:p>
        </w:tc>
      </w:tr>
      <w:tr w14:paraId="7A359D0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1E03566E">
            <w:pPr>
              <w:widowControl/>
              <w:autoSpaceDE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工程概况</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241684FA">
            <w:pPr>
              <w:widowControl/>
              <w:autoSpaceDE w:val="0"/>
              <w:spacing w:line="44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bidi="ar"/>
              </w:rPr>
              <w:t>本工程主要包括电缆管预埋、电缆穿管铺设等，具体内容详见施工图纸及工程量清单。</w:t>
            </w:r>
          </w:p>
        </w:tc>
      </w:tr>
      <w:tr w14:paraId="631FCB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5E4B1A3A">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标段划分</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278466BF">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一个标段</w:t>
            </w:r>
          </w:p>
        </w:tc>
      </w:tr>
      <w:tr w14:paraId="55DC8D6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769BB86E">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评标办法</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B708698">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综合评估法</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F00EE6A">
            <w:pPr>
              <w:autoSpaceDE w:val="0"/>
              <w:spacing w:line="440" w:lineRule="exact"/>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工程款支付方式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6BE8002B">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详见招标文件</w:t>
            </w:r>
          </w:p>
        </w:tc>
      </w:tr>
      <w:tr w14:paraId="4061BD7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39271EBE">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工程概算</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F091F09">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约</w:t>
            </w:r>
            <w:r>
              <w:rPr>
                <w:rFonts w:hint="eastAsia" w:ascii="宋体" w:hAnsi="宋体" w:cs="宋体"/>
                <w:color w:val="auto"/>
                <w:szCs w:val="21"/>
                <w:highlight w:val="none"/>
                <w:lang w:bidi="ar"/>
              </w:rPr>
              <w:t>95</w:t>
            </w:r>
            <w:r>
              <w:rPr>
                <w:rFonts w:hint="eastAsia" w:ascii="宋体" w:hAnsi="宋体" w:cs="宋体"/>
                <w:color w:val="auto"/>
                <w:szCs w:val="21"/>
                <w:highlight w:val="none"/>
                <w:lang w:bidi="ar"/>
              </w:rPr>
              <w:t>万元</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12A17F3">
            <w:pPr>
              <w:autoSpaceDE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计划工期</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10D9AF36">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详见招标文件</w:t>
            </w:r>
          </w:p>
        </w:tc>
      </w:tr>
      <w:tr w14:paraId="778D16E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5038A760">
            <w:pPr>
              <w:autoSpaceDE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资金来源</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315A76F">
            <w:pPr>
              <w:autoSpaceDE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自筹资金</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F5A403F">
            <w:pPr>
              <w:autoSpaceDE w:val="0"/>
              <w:spacing w:line="440" w:lineRule="exact"/>
              <w:jc w:val="left"/>
              <w:rPr>
                <w:rFonts w:hint="eastAsia" w:ascii="宋体" w:hAnsi="宋体" w:cs="宋体"/>
                <w:color w:val="auto"/>
                <w:spacing w:val="-4"/>
                <w:kern w:val="0"/>
                <w:szCs w:val="21"/>
                <w:highlight w:val="none"/>
              </w:rPr>
            </w:pPr>
            <w:r>
              <w:rPr>
                <w:rFonts w:hint="eastAsia" w:ascii="宋体" w:hAnsi="宋体" w:cs="宋体"/>
                <w:color w:val="auto"/>
                <w:szCs w:val="21"/>
                <w:highlight w:val="none"/>
                <w:lang w:bidi="ar"/>
              </w:rPr>
              <w:t>招标文件等获取方式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2F449358">
            <w:pPr>
              <w:autoSpaceDE w:val="0"/>
              <w:spacing w:line="440" w:lineRule="exact"/>
              <w:jc w:val="left"/>
              <w:rPr>
                <w:rFonts w:hint="eastAsia" w:ascii="宋体" w:hAnsi="宋体" w:cs="宋体"/>
                <w:color w:val="auto"/>
                <w:spacing w:val="-4"/>
                <w:kern w:val="0"/>
                <w:szCs w:val="21"/>
                <w:highlight w:val="none"/>
              </w:rPr>
            </w:pPr>
            <w:r>
              <w:rPr>
                <w:rFonts w:hint="eastAsia" w:ascii="宋体" w:hAnsi="宋体" w:cs="宋体"/>
                <w:color w:val="auto"/>
                <w:szCs w:val="21"/>
                <w:highlight w:val="none"/>
                <w:lang w:bidi="ar"/>
              </w:rPr>
              <w:t>网上下载</w:t>
            </w:r>
          </w:p>
        </w:tc>
      </w:tr>
      <w:tr w14:paraId="67E992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276D011D">
            <w:pPr>
              <w:autoSpaceDE w:val="0"/>
              <w:spacing w:line="44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是否要求提交投标保证金：要求，投标保证金的金额：1.5万元。</w:t>
            </w:r>
          </w:p>
          <w:p w14:paraId="2BEEACC9">
            <w:pPr>
              <w:autoSpaceDE w:val="0"/>
              <w:spacing w:line="44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投标保证金的形式：☑银行转账 </w:t>
            </w:r>
          </w:p>
          <w:p w14:paraId="0BB8E4B3">
            <w:pPr>
              <w:autoSpaceDE w:val="0"/>
              <w:spacing w:line="44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7D9877A5">
            <w:pPr>
              <w:autoSpaceDE w:val="0"/>
              <w:spacing w:line="44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开户名称：滁州市兴全矿业投资有限公司</w:t>
            </w:r>
          </w:p>
          <w:p w14:paraId="41C04B45">
            <w:pPr>
              <w:autoSpaceDE w:val="0"/>
              <w:spacing w:line="44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开户银行：中国银行股份有限公司全椒支行</w:t>
            </w:r>
          </w:p>
          <w:p w14:paraId="5780CF24">
            <w:pPr>
              <w:autoSpaceDE w:val="0"/>
              <w:spacing w:line="44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银行帐号：187242929688</w:t>
            </w:r>
          </w:p>
          <w:p w14:paraId="56E1E219">
            <w:pPr>
              <w:autoSpaceDE w:val="0"/>
              <w:spacing w:line="44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保证金到账截止时间同投标文件递交截止时间，交纳保证金时须在交易附言中注明：“兴全矿业办公生活区室外配电管线工程”投标保证金。 </w:t>
            </w:r>
          </w:p>
          <w:p w14:paraId="5E5C439D">
            <w:pPr>
              <w:autoSpaceDE w:val="0"/>
              <w:spacing w:line="44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注：各投标人请严格按照招标公告和招标文件载明的银行、账户汇入投标保证金，否则在开标时将无法查询保证金是否到账，导致评标委员会否决其投标！</w:t>
            </w:r>
          </w:p>
          <w:p w14:paraId="09BD3A01">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投标保证金退还期限：中标通知书发放后五个工作日内退还未中标单位的投标保证金，签订合同后中标单位的投标保证金转为履约保证金（多退少补，1个工作日内完成办理）。</w:t>
            </w:r>
          </w:p>
        </w:tc>
      </w:tr>
      <w:tr w14:paraId="2F47D93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6CFF124D">
            <w:pPr>
              <w:autoSpaceDE w:val="0"/>
              <w:spacing w:line="440" w:lineRule="exact"/>
              <w:jc w:val="left"/>
              <w:rPr>
                <w:rFonts w:hint="eastAsia" w:ascii="宋体" w:hAnsi="宋体" w:cs="宋体"/>
                <w:color w:val="auto"/>
                <w:kern w:val="0"/>
                <w:szCs w:val="21"/>
                <w:highlight w:val="none"/>
              </w:rPr>
            </w:pPr>
            <w:r>
              <w:rPr>
                <w:rFonts w:hint="eastAsia" w:ascii="宋体" w:hAnsi="宋体" w:cs="宋体"/>
                <w:color w:val="auto"/>
                <w:szCs w:val="21"/>
                <w:highlight w:val="none"/>
                <w:lang w:bidi="ar"/>
              </w:rPr>
              <w:t>招标文件获取方式：投标人从滁州市兴滁矿业投资集团有限公司（http://www.xckytz.com/）下载。</w:t>
            </w:r>
          </w:p>
        </w:tc>
      </w:tr>
      <w:tr w14:paraId="0BD0CD6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2FAF1EE4">
            <w:pPr>
              <w:autoSpaceDE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招标文件获取时间：</w:t>
            </w:r>
            <w:r>
              <w:rPr>
                <w:rFonts w:hint="eastAsia" w:ascii="宋体" w:hAnsi="宋体" w:cs="宋体"/>
                <w:b/>
                <w:bCs/>
                <w:color w:val="auto"/>
                <w:kern w:val="0"/>
                <w:szCs w:val="21"/>
                <w:highlight w:val="none"/>
                <w:lang w:bidi="ar"/>
              </w:rPr>
              <w:t>2024年</w:t>
            </w:r>
            <w:r>
              <w:rPr>
                <w:rFonts w:hint="eastAsia" w:ascii="宋体" w:hAnsi="宋体" w:cs="宋体"/>
                <w:b/>
                <w:bCs/>
                <w:color w:val="auto"/>
                <w:kern w:val="0"/>
                <w:szCs w:val="21"/>
                <w:highlight w:val="none"/>
                <w:lang w:val="en-US" w:eastAsia="zh-CN" w:bidi="ar"/>
              </w:rPr>
              <w:t>9</w:t>
            </w:r>
            <w:r>
              <w:rPr>
                <w:rFonts w:hint="eastAsia" w:ascii="宋体" w:hAnsi="宋体" w:cs="宋体"/>
                <w:b/>
                <w:bCs/>
                <w:color w:val="auto"/>
                <w:kern w:val="0"/>
                <w:szCs w:val="21"/>
                <w:highlight w:val="none"/>
                <w:lang w:bidi="ar"/>
              </w:rPr>
              <w:t>月</w:t>
            </w:r>
            <w:r>
              <w:rPr>
                <w:rFonts w:hint="eastAsia" w:ascii="宋体" w:hAnsi="宋体" w:cs="宋体"/>
                <w:b/>
                <w:bCs/>
                <w:color w:val="auto"/>
                <w:kern w:val="0"/>
                <w:szCs w:val="21"/>
                <w:highlight w:val="none"/>
                <w:lang w:val="en-US" w:eastAsia="zh-CN" w:bidi="ar"/>
              </w:rPr>
              <w:t>6</w:t>
            </w:r>
            <w:r>
              <w:rPr>
                <w:rFonts w:hint="eastAsia" w:ascii="宋体" w:hAnsi="宋体" w:cs="宋体"/>
                <w:b/>
                <w:bCs/>
                <w:color w:val="auto"/>
                <w:kern w:val="0"/>
                <w:szCs w:val="21"/>
                <w:highlight w:val="none"/>
                <w:lang w:bidi="ar"/>
              </w:rPr>
              <w:t>日17时后</w:t>
            </w:r>
            <w:r>
              <w:rPr>
                <w:rFonts w:hint="eastAsia" w:ascii="宋体" w:hAnsi="宋体" w:cs="宋体"/>
                <w:color w:val="auto"/>
                <w:kern w:val="0"/>
                <w:szCs w:val="21"/>
                <w:highlight w:val="none"/>
                <w:lang w:bidi="ar"/>
              </w:rPr>
              <w:t>，如投标人不及时下载招标文件，造成后果由投标人自负。</w:t>
            </w:r>
          </w:p>
        </w:tc>
      </w:tr>
      <w:tr w14:paraId="4F5769D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2B273C46">
            <w:pPr>
              <w:autoSpaceDE w:val="0"/>
              <w:spacing w:line="440" w:lineRule="exact"/>
              <w:jc w:val="left"/>
              <w:rPr>
                <w:rFonts w:hint="eastAsia" w:ascii="宋体" w:hAnsi="宋体" w:cs="宋体"/>
                <w:color w:val="auto"/>
                <w:kern w:val="0"/>
                <w:szCs w:val="21"/>
                <w:highlight w:val="none"/>
                <w:lang w:bidi="ar"/>
              </w:rPr>
            </w:pPr>
            <w:r>
              <w:rPr>
                <w:rFonts w:hint="eastAsia" w:ascii="宋体" w:hAnsi="宋体" w:cs="宋体"/>
                <w:b/>
                <w:bCs/>
                <w:color w:val="auto"/>
                <w:kern w:val="0"/>
                <w:szCs w:val="21"/>
                <w:highlight w:val="none"/>
                <w:lang w:bidi="ar"/>
              </w:rPr>
              <w:t>特别提示：</w:t>
            </w:r>
          </w:p>
          <w:p w14:paraId="4895C964">
            <w:pPr>
              <w:autoSpaceDE w:val="0"/>
              <w:spacing w:line="440" w:lineRule="exact"/>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1.施工场地及周边场地、道路、绿化等，若被施工方损坏，施工方必须无偿按照原貌恢复。</w:t>
            </w:r>
          </w:p>
          <w:p w14:paraId="67F7A102">
            <w:pPr>
              <w:autoSpaceDE w:val="0"/>
              <w:spacing w:line="440" w:lineRule="exact"/>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2.投标人自行勘察施工现场情况，因投标人未勘察现场而造成的损失由投标人自行承担。</w:t>
            </w:r>
          </w:p>
          <w:p w14:paraId="45BDE2BB">
            <w:pPr>
              <w:autoSpaceDE w:val="0"/>
              <w:spacing w:line="440" w:lineRule="exact"/>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3.中标人在合同履行期内与各方发生各种矛盾、纠纷时，由中标人自主解决。</w:t>
            </w:r>
          </w:p>
        </w:tc>
      </w:tr>
      <w:tr w14:paraId="093BB9C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4690"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5D2C20FF">
            <w:pPr>
              <w:widowControl/>
              <w:autoSpaceDE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招标人名称：滁州市兴全矿业投资有限公司</w:t>
            </w:r>
          </w:p>
          <w:p w14:paraId="40139A17">
            <w:pPr>
              <w:widowControl/>
              <w:autoSpaceDE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地址：安徽省滁州市全椒县六镇镇孙家村神山人家安置小区888栋1楼</w:t>
            </w:r>
          </w:p>
          <w:p w14:paraId="6E3E2006">
            <w:pPr>
              <w:widowControl/>
              <w:autoSpaceDE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联 系 人：杨富健</w:t>
            </w:r>
          </w:p>
          <w:p w14:paraId="2838D70C">
            <w:pPr>
              <w:widowControl/>
              <w:autoSpaceDE w:val="0"/>
              <w:spacing w:line="440" w:lineRule="exact"/>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联系方式：18255049167</w:t>
            </w:r>
          </w:p>
        </w:tc>
        <w:tc>
          <w:tcPr>
            <w:tcW w:w="4893"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A9AFBEA">
            <w:pPr>
              <w:widowControl/>
              <w:autoSpaceDE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招标代理机构名称：滁州市城投工程咨询管理有限公司</w:t>
            </w:r>
          </w:p>
          <w:p w14:paraId="1EAA449C">
            <w:pPr>
              <w:widowControl/>
              <w:autoSpaceDE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地址：滁州市龙蟠大道109号房产商务大厦6楼</w:t>
            </w:r>
          </w:p>
          <w:p w14:paraId="63CE59C6">
            <w:pPr>
              <w:widowControl/>
              <w:autoSpaceDE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联系人：胡国庆</w:t>
            </w:r>
          </w:p>
          <w:p w14:paraId="331AF988">
            <w:pPr>
              <w:widowControl/>
              <w:autoSpaceDE w:val="0"/>
              <w:spacing w:line="440" w:lineRule="exact"/>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lang w:bidi="ar"/>
              </w:rPr>
              <w:t>联系方式：0550-3519517、18005500950</w:t>
            </w:r>
          </w:p>
        </w:tc>
      </w:tr>
      <w:tr w14:paraId="2738D07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24DCB7A8">
            <w:pPr>
              <w:autoSpaceDE w:val="0"/>
              <w:spacing w:line="440" w:lineRule="exact"/>
              <w:jc w:val="left"/>
              <w:rPr>
                <w:rFonts w:hint="eastAsia" w:ascii="宋体" w:hAnsi="宋体" w:cs="宋体"/>
                <w:color w:val="auto"/>
                <w:szCs w:val="21"/>
                <w:highlight w:val="none"/>
              </w:rPr>
            </w:pPr>
            <w:r>
              <w:rPr>
                <w:rFonts w:hint="eastAsia" w:ascii="宋体" w:hAnsi="宋体" w:cs="宋体"/>
                <w:b/>
                <w:color w:val="auto"/>
                <w:szCs w:val="21"/>
                <w:highlight w:val="none"/>
                <w:lang w:bidi="ar"/>
              </w:rPr>
              <w:t>公告发布媒体</w:t>
            </w:r>
            <w:r>
              <w:rPr>
                <w:rFonts w:hint="eastAsia" w:ascii="宋体" w:hAnsi="宋体" w:cs="宋体"/>
                <w:color w:val="auto"/>
                <w:szCs w:val="21"/>
                <w:highlight w:val="none"/>
                <w:lang w:bidi="ar"/>
              </w:rPr>
              <w:t>：滁州市兴滁矿业投资集团有限公司网站</w:t>
            </w:r>
          </w:p>
        </w:tc>
      </w:tr>
    </w:tbl>
    <w:p w14:paraId="2824E9FB">
      <w:pPr>
        <w:pStyle w:val="44"/>
        <w:spacing w:before="120" w:beforeLines="50" w:after="120" w:afterLines="50" w:line="440" w:lineRule="exact"/>
        <w:rPr>
          <w:bCs/>
          <w:color w:val="auto"/>
          <w:szCs w:val="32"/>
          <w:highlight w:val="none"/>
        </w:rPr>
      </w:pPr>
      <w:r>
        <w:rPr>
          <w:rFonts w:hint="eastAsia"/>
          <w:bCs/>
          <w:color w:val="auto"/>
          <w:szCs w:val="32"/>
          <w:highlight w:val="none"/>
        </w:rPr>
        <w:br w:type="page"/>
      </w:r>
      <w:bookmarkStart w:id="36" w:name="_Toc18989"/>
      <w:bookmarkStart w:id="37" w:name="_Toc22947"/>
      <w:r>
        <w:rPr>
          <w:rFonts w:hint="eastAsia"/>
          <w:bCs/>
          <w:color w:val="auto"/>
          <w:szCs w:val="32"/>
          <w:highlight w:val="none"/>
        </w:rPr>
        <w:t>第一章  投标人须知</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8840431">
      <w:pPr>
        <w:spacing w:before="120" w:beforeLines="50" w:after="120" w:afterLines="50" w:line="440" w:lineRule="exact"/>
        <w:jc w:val="center"/>
        <w:rPr>
          <w:b/>
          <w:bCs/>
          <w:color w:val="auto"/>
          <w:sz w:val="28"/>
          <w:szCs w:val="28"/>
          <w:highlight w:val="none"/>
        </w:rPr>
      </w:pPr>
      <w:bookmarkStart w:id="38" w:name="_Toc15058845"/>
      <w:bookmarkStart w:id="39" w:name="_Toc179632545"/>
      <w:bookmarkStart w:id="40" w:name="_Toc35424884"/>
      <w:bookmarkStart w:id="41" w:name="_Toc246996174"/>
      <w:bookmarkStart w:id="42" w:name="_Toc152045528"/>
      <w:bookmarkStart w:id="43" w:name="_Toc247085688"/>
      <w:bookmarkStart w:id="44" w:name="_Toc152042304"/>
      <w:bookmarkStart w:id="45" w:name="_Toc324404814"/>
      <w:bookmarkStart w:id="46" w:name="_Toc144974496"/>
      <w:bookmarkStart w:id="47" w:name="_Toc35425051"/>
      <w:bookmarkStart w:id="48" w:name="_Toc506107268"/>
      <w:bookmarkStart w:id="49" w:name="_Toc246996917"/>
      <w:r>
        <w:rPr>
          <w:rFonts w:hint="eastAsia"/>
          <w:b/>
          <w:bCs/>
          <w:color w:val="auto"/>
          <w:sz w:val="28"/>
          <w:szCs w:val="28"/>
          <w:highlight w:val="none"/>
        </w:rPr>
        <w:t>投标人须知前附表</w:t>
      </w:r>
      <w:bookmarkEnd w:id="38"/>
      <w:bookmarkEnd w:id="39"/>
      <w:bookmarkEnd w:id="40"/>
      <w:bookmarkEnd w:id="41"/>
      <w:bookmarkEnd w:id="42"/>
      <w:bookmarkEnd w:id="43"/>
      <w:bookmarkEnd w:id="44"/>
      <w:bookmarkEnd w:id="45"/>
      <w:bookmarkEnd w:id="46"/>
      <w:bookmarkEnd w:id="47"/>
      <w:bookmarkEnd w:id="48"/>
      <w:bookmarkEnd w:id="49"/>
    </w:p>
    <w:tbl>
      <w:tblPr>
        <w:tblStyle w:val="47"/>
        <w:tblW w:w="10328" w:type="dxa"/>
        <w:jc w:val="center"/>
        <w:tblLayout w:type="fixed"/>
        <w:tblCellMar>
          <w:top w:w="0" w:type="dxa"/>
          <w:left w:w="108" w:type="dxa"/>
          <w:bottom w:w="0" w:type="dxa"/>
          <w:right w:w="108" w:type="dxa"/>
        </w:tblCellMar>
      </w:tblPr>
      <w:tblGrid>
        <w:gridCol w:w="868"/>
        <w:gridCol w:w="910"/>
        <w:gridCol w:w="1299"/>
        <w:gridCol w:w="7251"/>
      </w:tblGrid>
      <w:tr w14:paraId="37B71D2B">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D84F2FD">
            <w:pPr>
              <w:spacing w:line="440" w:lineRule="exact"/>
              <w:jc w:val="center"/>
              <w:rPr>
                <w:rFonts w:hint="eastAsia" w:ascii="宋体" w:hAnsi="宋体" w:cs="宋体"/>
                <w:b/>
                <w:color w:val="auto"/>
                <w:szCs w:val="21"/>
                <w:highlight w:val="none"/>
              </w:rPr>
            </w:pPr>
            <w:bookmarkStart w:id="50" w:name="_Toc179632546"/>
            <w:bookmarkStart w:id="51" w:name="_Toc144974497"/>
            <w:bookmarkStart w:id="52" w:name="_Toc506107269"/>
            <w:bookmarkStart w:id="53" w:name="_Toc152042305"/>
            <w:bookmarkStart w:id="54" w:name="_Toc324404815"/>
            <w:bookmarkStart w:id="55" w:name="_Toc152045529"/>
            <w:bookmarkStart w:id="56" w:name="_Toc246996175"/>
            <w:bookmarkStart w:id="57" w:name="_Toc247085689"/>
            <w:bookmarkStart w:id="58" w:name="_Toc246996918"/>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ED5022C">
            <w:pPr>
              <w:spacing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539308D5">
            <w:pPr>
              <w:spacing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编  列  内  容</w:t>
            </w:r>
          </w:p>
        </w:tc>
      </w:tr>
      <w:tr w14:paraId="77CB808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19E26C5">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CCB615E">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3B6E76B5">
            <w:pPr>
              <w:adjustRightInd w:val="0"/>
              <w:snapToGrid w:val="0"/>
              <w:spacing w:line="440" w:lineRule="exact"/>
              <w:jc w:val="left"/>
              <w:rPr>
                <w:color w:val="auto"/>
                <w:szCs w:val="21"/>
                <w:highlight w:val="none"/>
              </w:rPr>
            </w:pPr>
            <w:r>
              <w:rPr>
                <w:rFonts w:hint="eastAsia" w:ascii="宋体" w:hAnsi="宋体" w:cs="宋体"/>
                <w:color w:val="auto"/>
                <w:kern w:val="0"/>
                <w:szCs w:val="21"/>
                <w:highlight w:val="none"/>
              </w:rPr>
              <w:t>详见招标公告</w:t>
            </w:r>
          </w:p>
        </w:tc>
      </w:tr>
      <w:tr w14:paraId="1B012B3F">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AF59A3F">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E90E0BA">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46AD29A2">
            <w:pPr>
              <w:adjustRightInd w:val="0"/>
              <w:snapToGrid w:val="0"/>
              <w:spacing w:line="440" w:lineRule="exact"/>
              <w:rPr>
                <w:rFonts w:hint="eastAsia" w:ascii="宋体" w:hAnsi="宋体" w:cs="宋体"/>
                <w:color w:val="auto"/>
                <w:szCs w:val="21"/>
                <w:highlight w:val="none"/>
              </w:rPr>
            </w:pPr>
            <w:r>
              <w:rPr>
                <w:rFonts w:hint="eastAsia" w:ascii="宋体" w:hAnsi="宋体" w:cs="宋体"/>
                <w:color w:val="auto"/>
                <w:kern w:val="0"/>
                <w:szCs w:val="21"/>
                <w:highlight w:val="none"/>
              </w:rPr>
              <w:t>详见招标公告</w:t>
            </w:r>
          </w:p>
        </w:tc>
      </w:tr>
      <w:tr w14:paraId="77652C7C">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A259137">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0373491">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630B7D41">
            <w:pPr>
              <w:adjustRightInd w:val="0"/>
              <w:snapToGrid w:val="0"/>
              <w:spacing w:line="440" w:lineRule="exact"/>
              <w:rPr>
                <w:rFonts w:hint="eastAsia" w:ascii="宋体" w:hAnsi="宋体" w:cs="宋体"/>
                <w:color w:val="auto"/>
                <w:szCs w:val="21"/>
                <w:highlight w:val="none"/>
              </w:rPr>
            </w:pPr>
            <w:r>
              <w:rPr>
                <w:rFonts w:hint="eastAsia" w:ascii="宋体" w:hAnsi="宋体" w:cs="宋体"/>
                <w:color w:val="auto"/>
                <w:kern w:val="0"/>
                <w:szCs w:val="21"/>
                <w:highlight w:val="none"/>
              </w:rPr>
              <w:t>详见招标公告</w:t>
            </w:r>
          </w:p>
        </w:tc>
      </w:tr>
      <w:tr w14:paraId="17EBD4E8">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DE1C039">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9CC7B4C">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723B8FFA">
            <w:pPr>
              <w:adjustRightInd w:val="0"/>
              <w:snapToGrid w:val="0"/>
              <w:spacing w:line="440" w:lineRule="exact"/>
              <w:rPr>
                <w:rFonts w:hint="eastAsia" w:ascii="宋体" w:hAnsi="宋体" w:cs="宋体"/>
                <w:color w:val="auto"/>
                <w:szCs w:val="21"/>
                <w:highlight w:val="none"/>
              </w:rPr>
            </w:pPr>
            <w:r>
              <w:rPr>
                <w:rFonts w:hint="eastAsia" w:ascii="宋体" w:hAnsi="宋体" w:cs="宋体"/>
                <w:color w:val="auto"/>
                <w:kern w:val="0"/>
                <w:szCs w:val="21"/>
                <w:highlight w:val="none"/>
              </w:rPr>
              <w:t>详见招标公告</w:t>
            </w:r>
          </w:p>
        </w:tc>
      </w:tr>
      <w:tr w14:paraId="4BDA18F4">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8C5D327">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F0A8E1C">
            <w:pPr>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2768EECC">
            <w:pPr>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已落实</w:t>
            </w:r>
          </w:p>
        </w:tc>
      </w:tr>
      <w:tr w14:paraId="590188F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E54C3FA">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627E232">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299DC86A">
            <w:pPr>
              <w:spacing w:line="440" w:lineRule="exact"/>
              <w:rPr>
                <w:rFonts w:hint="eastAsia" w:ascii="宋体" w:hAnsi="宋体" w:cs="宋体"/>
                <w:color w:val="auto"/>
                <w:szCs w:val="21"/>
                <w:highlight w:val="none"/>
              </w:rPr>
            </w:pPr>
            <w:r>
              <w:rPr>
                <w:rFonts w:hint="eastAsia"/>
                <w:color w:val="auto"/>
                <w:szCs w:val="21"/>
                <w:highlight w:val="none"/>
              </w:rPr>
              <w:t>详见招标公告</w:t>
            </w:r>
          </w:p>
        </w:tc>
      </w:tr>
      <w:tr w14:paraId="18B3A453">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ABBB497">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E837048">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7B6371AB">
            <w:pPr>
              <w:pStyle w:val="96"/>
              <w:spacing w:line="440" w:lineRule="exact"/>
              <w:rPr>
                <w:rFonts w:hint="eastAsia" w:ascii="宋体" w:hAnsi="宋体" w:cs="宋体"/>
                <w:color w:val="auto"/>
                <w:highlight w:val="none"/>
              </w:rPr>
            </w:pPr>
            <w:r>
              <w:rPr>
                <w:rFonts w:hint="eastAsia" w:ascii="宋体" w:hAnsi="宋体" w:cs="宋体"/>
                <w:color w:val="auto"/>
                <w:highlight w:val="none"/>
              </w:rPr>
              <w:t>综合评估法</w:t>
            </w:r>
          </w:p>
        </w:tc>
      </w:tr>
      <w:tr w14:paraId="4F0BF63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761B79">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A74B2F6">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19F5912B">
            <w:pPr>
              <w:adjustRightInd w:val="0"/>
              <w:snapToGrid w:val="0"/>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计划工期：</w:t>
            </w:r>
            <w:r>
              <w:rPr>
                <w:rFonts w:hint="eastAsia" w:ascii="宋体" w:hAnsi="宋体" w:cs="宋体"/>
                <w:b/>
                <w:color w:val="auto"/>
                <w:szCs w:val="21"/>
                <w:highlight w:val="none"/>
              </w:rPr>
              <w:t>不高于</w:t>
            </w:r>
            <w:r>
              <w:rPr>
                <w:rFonts w:hint="eastAsia" w:ascii="宋体" w:hAnsi="宋体" w:cs="宋体"/>
                <w:b/>
                <w:color w:val="auto"/>
                <w:szCs w:val="21"/>
                <w:highlight w:val="none"/>
                <w:u w:val="single"/>
              </w:rPr>
              <w:t xml:space="preserve"> 30 </w:t>
            </w:r>
            <w:r>
              <w:rPr>
                <w:rFonts w:hint="eastAsia" w:ascii="宋体" w:hAnsi="宋体" w:cs="宋体"/>
                <w:b/>
                <w:color w:val="auto"/>
                <w:szCs w:val="21"/>
                <w:highlight w:val="none"/>
              </w:rPr>
              <w:t>个日历天</w:t>
            </w:r>
            <w:r>
              <w:rPr>
                <w:rFonts w:hint="eastAsia" w:ascii="宋体" w:hAnsi="宋体" w:cs="宋体"/>
                <w:b/>
                <w:color w:val="auto"/>
                <w:szCs w:val="21"/>
                <w:highlight w:val="none"/>
              </w:rPr>
              <w:t>。</w:t>
            </w:r>
          </w:p>
          <w:p w14:paraId="6555D569">
            <w:pPr>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计划开工日期：双方签订合同时明确 </w:t>
            </w:r>
          </w:p>
          <w:p w14:paraId="3980238A">
            <w:pPr>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计划竣工日期：双方签订合同时明确</w:t>
            </w:r>
          </w:p>
          <w:p w14:paraId="18439D33">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注：投标人自报的承诺工期为考核标准。工期每延误一天，处以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3000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元违约金，工期提前不奖励。   </w:t>
            </w:r>
          </w:p>
        </w:tc>
      </w:tr>
      <w:tr w14:paraId="3DAE784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73932BE">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65B8CEB">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11B15407">
            <w:pPr>
              <w:spacing w:line="440" w:lineRule="exact"/>
              <w:rPr>
                <w:rFonts w:hint="eastAsia" w:ascii="宋体" w:hAnsi="宋体" w:eastAsia="宋体" w:cs="宋体"/>
                <w:color w:val="auto"/>
                <w:szCs w:val="21"/>
                <w:highlight w:val="none"/>
              </w:rPr>
            </w:pPr>
            <w:r>
              <w:rPr>
                <w:rFonts w:hint="eastAsia" w:ascii="宋体" w:hAnsi="宋体" w:cs="宋体"/>
                <w:color w:val="auto"/>
                <w:szCs w:val="21"/>
                <w:highlight w:val="none"/>
              </w:rPr>
              <w:t>1.工</w:t>
            </w:r>
            <w:r>
              <w:rPr>
                <w:rFonts w:hint="eastAsia" w:ascii="宋体" w:hAnsi="宋体" w:eastAsia="宋体" w:cs="宋体"/>
                <w:color w:val="auto"/>
                <w:szCs w:val="21"/>
                <w:highlight w:val="none"/>
              </w:rPr>
              <w:t xml:space="preserve">程质量必须达到国家工程施工质量验收 合格 标准。 </w:t>
            </w:r>
          </w:p>
          <w:p w14:paraId="14E3EEC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2.本工程为交钥匙工程，中标单位需确保工程完工后满足用电使用要求。</w:t>
            </w:r>
          </w:p>
          <w:p w14:paraId="7CDC3823">
            <w:pPr>
              <w:spacing w:line="440" w:lineRule="exact"/>
              <w:rPr>
                <w:rFonts w:hint="eastAsia" w:ascii="宋体" w:hAnsi="宋体" w:cs="宋体"/>
                <w:color w:val="auto"/>
                <w:szCs w:val="21"/>
                <w:highlight w:val="none"/>
              </w:rPr>
            </w:pPr>
            <w:r>
              <w:rPr>
                <w:rFonts w:hint="eastAsia" w:ascii="宋体" w:hAnsi="宋体" w:eastAsia="宋体" w:cs="宋体"/>
                <w:color w:val="auto"/>
                <w:szCs w:val="21"/>
                <w:highlight w:val="none"/>
              </w:rPr>
              <w:t xml:space="preserve">3.设备材料：合格。满足设计要求、招标人要求，符合约定的参数、品牌或同等级别（或以上）品牌且经发包人确认。 </w:t>
            </w:r>
          </w:p>
        </w:tc>
      </w:tr>
      <w:tr w14:paraId="778C04F2">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78DB884B">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B525D0A">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6CB454E7">
            <w:pP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详见招标公告</w:t>
            </w:r>
          </w:p>
        </w:tc>
      </w:tr>
      <w:tr w14:paraId="0FA685E0">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32E5EC5D">
            <w:pPr>
              <w:spacing w:line="440" w:lineRule="exact"/>
              <w:jc w:val="center"/>
              <w:rPr>
                <w:rFonts w:hint="eastAsia"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3F416AA">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0BB22542">
            <w:pP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详见招标公告</w:t>
            </w:r>
          </w:p>
        </w:tc>
      </w:tr>
      <w:tr w14:paraId="273B554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8885090">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0A62A24">
            <w:pPr>
              <w:spacing w:line="440" w:lineRule="exact"/>
              <w:jc w:val="center"/>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45B35466">
            <w:pPr>
              <w:pStyle w:val="19"/>
              <w:topLinePunct/>
              <w:spacing w:line="440" w:lineRule="exact"/>
              <w:rPr>
                <w:rFonts w:hint="eastAsia"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1D34099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142A568">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A0F5342">
            <w:pPr>
              <w:spacing w:line="440" w:lineRule="exact"/>
              <w:jc w:val="center"/>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61697B15">
            <w:pPr>
              <w:pStyle w:val="19"/>
              <w:topLinePunct/>
              <w:spacing w:line="440" w:lineRule="exact"/>
              <w:rPr>
                <w:rFonts w:hint="eastAsia"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；□召开</w:t>
            </w:r>
          </w:p>
        </w:tc>
      </w:tr>
      <w:tr w14:paraId="3AA28EC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171CE33">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19EEBA0">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5F6B0EEE">
            <w:pPr>
              <w:pStyle w:val="25"/>
              <w:spacing w:line="440" w:lineRule="exact"/>
              <w:rPr>
                <w:rFonts w:hint="eastAsia" w:hAnsi="宋体" w:cs="宋体"/>
                <w:color w:val="auto"/>
                <w:szCs w:val="21"/>
                <w:highlight w:val="none"/>
              </w:rPr>
            </w:pPr>
            <w:r>
              <w:rPr>
                <w:rFonts w:hint="eastAsia" w:ascii="宋体" w:hAnsi="宋体" w:cs="宋体"/>
                <w:color w:val="auto"/>
                <w:kern w:val="0"/>
                <w:szCs w:val="21"/>
                <w:highlight w:val="none"/>
              </w:rPr>
              <w:t>如投标人对招标文件有疑问，请于</w:t>
            </w:r>
            <w:r>
              <w:rPr>
                <w:rFonts w:hint="eastAsia" w:ascii="宋体" w:hAnsi="宋体" w:cs="宋体"/>
                <w:bCs/>
                <w:color w:val="auto"/>
                <w:szCs w:val="21"/>
                <w:highlight w:val="none"/>
              </w:rPr>
              <w:t>2024年</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日11时</w:t>
            </w:r>
            <w:r>
              <w:rPr>
                <w:rFonts w:hint="eastAsia" w:ascii="宋体" w:hAnsi="宋体" w:cs="宋体"/>
                <w:color w:val="auto"/>
                <w:kern w:val="0"/>
                <w:szCs w:val="21"/>
                <w:highlight w:val="none"/>
              </w:rPr>
              <w:t>前将疑问内容以电子邮件形式发送至czsctgczx@163.com（滁州市城投工程咨询管理有限公司邮箱）</w:t>
            </w:r>
          </w:p>
        </w:tc>
      </w:tr>
      <w:tr w14:paraId="4475A8A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703B859">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B9FC47C">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5EC757C7">
            <w:pPr>
              <w:spacing w:line="440" w:lineRule="exact"/>
              <w:rPr>
                <w:rFonts w:hint="eastAsia" w:ascii="宋体" w:hAnsi="宋体" w:cs="宋体"/>
                <w:color w:val="auto"/>
                <w:szCs w:val="21"/>
                <w:highlight w:val="none"/>
              </w:rPr>
            </w:pPr>
            <w:r>
              <w:rPr>
                <w:color w:val="auto"/>
                <w:highlight w:val="none"/>
              </w:rPr>
              <w:fldChar w:fldCharType="begin"/>
            </w:r>
            <w:r>
              <w:rPr>
                <w:color w:val="auto"/>
                <w:highlight w:val="none"/>
              </w:rPr>
              <w:instrText xml:space="preserve"> HYPERLINK "mailto:日11时前将疑问内容以电子邮件形式发送至66267656@qq.com（安徽佳宝信项目管理有限公司邮箱），招标人将在2020年6月" </w:instrText>
            </w:r>
            <w:r>
              <w:rPr>
                <w:color w:val="auto"/>
                <w:highlight w:val="none"/>
              </w:rPr>
              <w:fldChar w:fldCharType="separate"/>
            </w:r>
            <w:r>
              <w:rPr>
                <w:rFonts w:hint="eastAsia" w:ascii="宋体" w:hAnsi="宋体" w:cs="宋体"/>
                <w:color w:val="auto"/>
                <w:szCs w:val="21"/>
                <w:highlight w:val="none"/>
              </w:rPr>
              <w:t>招标人将在2024年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日1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时后在“</w:t>
            </w:r>
            <w:r>
              <w:rPr>
                <w:rFonts w:hint="eastAsia" w:ascii="宋体" w:hAnsi="宋体" w:cs="宋体"/>
                <w:color w:val="auto"/>
                <w:szCs w:val="21"/>
                <w:highlight w:val="none"/>
                <w:lang w:bidi="ar"/>
              </w:rPr>
              <w:t>滁州市兴滁矿业投资集团有限公司</w:t>
            </w:r>
            <w:r>
              <w:rPr>
                <w:rFonts w:hint="eastAsia" w:ascii="宋体" w:hAnsi="宋体" w:cs="宋体"/>
                <w:color w:val="auto"/>
                <w:szCs w:val="21"/>
                <w:highlight w:val="none"/>
              </w:rPr>
              <w:t>”</w:t>
            </w:r>
            <w:r>
              <w:rPr>
                <w:rFonts w:hint="eastAsia" w:ascii="宋体" w:hAnsi="宋体" w:cs="宋体"/>
                <w:color w:val="auto"/>
                <w:szCs w:val="21"/>
                <w:highlight w:val="none"/>
                <w:lang w:bidi="ar"/>
              </w:rPr>
              <w:t>（http://www.xckytz.com/）</w:t>
            </w:r>
            <w:r>
              <w:rPr>
                <w:rFonts w:hint="eastAsia" w:ascii="宋体" w:hAnsi="宋体" w:cs="宋体"/>
                <w:color w:val="auto"/>
                <w:szCs w:val="21"/>
                <w:highlight w:val="none"/>
              </w:rPr>
              <w:t>发布 ，请各位投标人注意查看有关澄清内容，如不及时查看造成后果由投标人自负。</w:t>
            </w:r>
          </w:p>
        </w:tc>
      </w:tr>
      <w:tr w14:paraId="73D00C7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49F2849">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E65D58B">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7251" w:type="dxa"/>
            <w:tcBorders>
              <w:top w:val="single" w:color="auto" w:sz="4" w:space="0"/>
              <w:left w:val="single" w:color="auto" w:sz="4" w:space="0"/>
              <w:bottom w:val="single" w:color="auto" w:sz="4" w:space="0"/>
              <w:right w:val="single" w:color="auto" w:sz="4" w:space="0"/>
            </w:tcBorders>
            <w:noWrap/>
            <w:vAlign w:val="center"/>
          </w:tcPr>
          <w:p w14:paraId="6108A90F">
            <w:pPr>
              <w:pStyle w:val="19"/>
              <w:spacing w:line="440" w:lineRule="exact"/>
              <w:jc w:val="left"/>
              <w:rPr>
                <w:rFonts w:hint="eastAsia" w:hAnsi="宋体" w:cs="宋体"/>
                <w:color w:val="auto"/>
                <w:sz w:val="21"/>
                <w:szCs w:val="21"/>
                <w:highlight w:val="none"/>
              </w:rPr>
            </w:pPr>
            <w:r>
              <w:rPr>
                <w:rFonts w:hint="eastAsia" w:hAnsi="宋体" w:cs="宋体"/>
                <w:color w:val="auto"/>
                <w:sz w:val="21"/>
                <w:szCs w:val="21"/>
                <w:highlight w:val="none"/>
              </w:rPr>
              <w:t>☑不允许</w:t>
            </w:r>
          </w:p>
          <w:p w14:paraId="29354BCF">
            <w:pPr>
              <w:spacing w:line="440" w:lineRule="exact"/>
              <w:jc w:val="left"/>
              <w:rPr>
                <w:color w:val="auto"/>
                <w:szCs w:val="21"/>
                <w:highlight w:val="none"/>
              </w:rPr>
            </w:pPr>
            <w:r>
              <w:rPr>
                <w:rFonts w:hint="eastAsia" w:hAnsi="宋体" w:cs="宋体"/>
                <w:color w:val="auto"/>
                <w:szCs w:val="21"/>
                <w:highlight w:val="none"/>
              </w:rPr>
              <w:t>□</w:t>
            </w:r>
            <w:r>
              <w:rPr>
                <w:rFonts w:hint="eastAsia" w:ascii="宋体" w:hAnsi="宋体" w:cs="宋体"/>
                <w:color w:val="auto"/>
                <w:szCs w:val="21"/>
                <w:highlight w:val="none"/>
              </w:rPr>
              <w:t>允许，分包内容要求：/</w:t>
            </w:r>
          </w:p>
          <w:p w14:paraId="72600469">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分包金额要求：/</w:t>
            </w:r>
          </w:p>
          <w:p w14:paraId="04314AC8">
            <w:pPr>
              <w:pStyle w:val="19"/>
              <w:spacing w:line="440" w:lineRule="exact"/>
              <w:jc w:val="left"/>
              <w:rPr>
                <w:color w:val="auto"/>
                <w:highlight w:val="none"/>
              </w:rPr>
            </w:pPr>
            <w:r>
              <w:rPr>
                <w:rFonts w:hint="eastAsia" w:hAnsi="宋体" w:cs="宋体"/>
                <w:color w:val="auto"/>
                <w:sz w:val="21"/>
                <w:szCs w:val="21"/>
                <w:highlight w:val="none"/>
              </w:rPr>
              <w:t>接受分包的第三人资质要求：/</w:t>
            </w:r>
          </w:p>
        </w:tc>
      </w:tr>
      <w:tr w14:paraId="79A7C9D4">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32A2CF2">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5EF04B1">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0E93B1D8">
            <w:pPr>
              <w:pStyle w:val="19"/>
              <w:topLinePunct/>
              <w:spacing w:line="440" w:lineRule="exact"/>
              <w:rPr>
                <w:rFonts w:hint="eastAsia"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690ADEC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5207F5E">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8DD2EE0">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15DF090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招标人提供的其他材料及招标澄清答疑文件等。</w:t>
            </w:r>
          </w:p>
        </w:tc>
      </w:tr>
      <w:tr w14:paraId="7C1DAB3F">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C806712">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AF893D5">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509CC79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同本表第13条</w:t>
            </w:r>
          </w:p>
        </w:tc>
      </w:tr>
      <w:tr w14:paraId="35AB1576">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DBC08D7">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9537FF0">
            <w:pPr>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增值税税金</w:t>
            </w:r>
          </w:p>
        </w:tc>
        <w:tc>
          <w:tcPr>
            <w:tcW w:w="7251" w:type="dxa"/>
            <w:tcBorders>
              <w:top w:val="single" w:color="auto" w:sz="4" w:space="0"/>
              <w:left w:val="single" w:color="auto" w:sz="4" w:space="0"/>
              <w:bottom w:val="single" w:color="auto" w:sz="4" w:space="0"/>
              <w:right w:val="single" w:color="auto" w:sz="4" w:space="0"/>
            </w:tcBorders>
            <w:noWrap/>
          </w:tcPr>
          <w:p w14:paraId="353C6DA3">
            <w:pPr>
              <w:adjustRightInd w:val="0"/>
              <w:snapToGrid w:val="0"/>
              <w:spacing w:line="440" w:lineRule="exact"/>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（1）计税方法：</w:t>
            </w:r>
          </w:p>
          <w:p w14:paraId="57095E3C">
            <w:pPr>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☑一般计税方法</w:t>
            </w:r>
          </w:p>
          <w:p w14:paraId="292E0365">
            <w:pPr>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 xml:space="preserve">□简易计算方法 </w:t>
            </w:r>
          </w:p>
          <w:p w14:paraId="7DB4BD0D">
            <w:pPr>
              <w:adjustRightInd w:val="0"/>
              <w:snapToGrid w:val="0"/>
              <w:spacing w:line="440" w:lineRule="exact"/>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（2）发票类型：</w:t>
            </w:r>
          </w:p>
          <w:p w14:paraId="66759B8D">
            <w:pPr>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☑增值税专用发票</w:t>
            </w:r>
          </w:p>
          <w:p w14:paraId="37786C92">
            <w:pPr>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□增值税普通发票</w:t>
            </w:r>
          </w:p>
          <w:p w14:paraId="5141BF9E">
            <w:pPr>
              <w:numPr>
                <w:ilvl w:val="0"/>
                <w:numId w:val="1"/>
              </w:numPr>
              <w:adjustRightInd w:val="0"/>
              <w:snapToGrid w:val="0"/>
              <w:spacing w:line="440" w:lineRule="exact"/>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增值税税率按照国家有关规定执行。</w:t>
            </w:r>
          </w:p>
          <w:p w14:paraId="7C12B0A4">
            <w:pPr>
              <w:pStyle w:val="19"/>
              <w:topLinePunct/>
              <w:adjustRightInd w:val="0"/>
              <w:snapToGrid w:val="0"/>
              <w:spacing w:line="440" w:lineRule="exact"/>
              <w:ind w:firstLine="525" w:firstLineChars="250"/>
              <w:rPr>
                <w:rFonts w:hint="eastAsia" w:hAnsi="宋体" w:cs="宋体"/>
                <w:color w:val="auto"/>
                <w:szCs w:val="21"/>
                <w:highlight w:val="none"/>
              </w:rPr>
            </w:pPr>
            <w:r>
              <w:rPr>
                <w:rFonts w:hint="eastAsia" w:hAnsi="宋体" w:cs="宋体"/>
                <w:bCs/>
                <w:snapToGrid w:val="0"/>
                <w:color w:val="auto"/>
                <w:kern w:val="0"/>
                <w:sz w:val="21"/>
                <w:szCs w:val="21"/>
                <w:highlight w:val="none"/>
              </w:rPr>
              <w:t>其它：</w:t>
            </w:r>
            <w:r>
              <w:rPr>
                <w:rFonts w:hint="eastAsia" w:hAnsi="宋体" w:cs="宋体"/>
                <w:bCs/>
                <w:snapToGrid w:val="0"/>
                <w:color w:val="auto"/>
                <w:kern w:val="0"/>
                <w:sz w:val="21"/>
                <w:szCs w:val="21"/>
                <w:highlight w:val="none"/>
                <w:u w:val="single"/>
              </w:rPr>
              <w:t>/</w:t>
            </w:r>
            <w:r>
              <w:rPr>
                <w:rFonts w:hint="eastAsia" w:hAnsi="宋体" w:cs="宋体"/>
                <w:bCs/>
                <w:snapToGrid w:val="0"/>
                <w:color w:val="auto"/>
                <w:kern w:val="0"/>
                <w:sz w:val="21"/>
                <w:szCs w:val="21"/>
                <w:highlight w:val="none"/>
              </w:rPr>
              <w:t xml:space="preserve"> 。</w:t>
            </w:r>
          </w:p>
        </w:tc>
      </w:tr>
      <w:tr w14:paraId="62DC61C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64E17CD">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07F229C">
            <w:pPr>
              <w:adjustRightInd w:val="0"/>
              <w:snapToGrid w:val="0"/>
              <w:spacing w:line="440" w:lineRule="exact"/>
              <w:jc w:val="center"/>
              <w:rPr>
                <w:rFonts w:hint="eastAsia" w:ascii="宋体" w:hAnsi="宋体" w:cs="宋体"/>
                <w:color w:val="auto"/>
                <w:szCs w:val="21"/>
                <w:highlight w:val="none"/>
              </w:rPr>
            </w:pPr>
            <w:r>
              <w:rPr>
                <w:rFonts w:hint="eastAsia" w:ascii="宋体" w:hAnsi="宋体" w:cs="宋体"/>
                <w:b/>
                <w:bCs/>
                <w:color w:val="auto"/>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0012201B">
            <w:pPr>
              <w:adjustRightInd w:val="0"/>
              <w:snapToGrid w:val="0"/>
              <w:spacing w:line="440" w:lineRule="exact"/>
              <w:rPr>
                <w:rFonts w:hint="eastAsia" w:ascii="宋体" w:hAnsi="宋体" w:cs="宋体"/>
                <w:b/>
                <w:color w:val="auto"/>
                <w:szCs w:val="21"/>
                <w:highlight w:val="none"/>
                <w:u w:val="single"/>
              </w:rPr>
            </w:pPr>
            <w:r>
              <w:rPr>
                <w:rFonts w:hint="eastAsia" w:ascii="宋体" w:hAnsi="宋体" w:cs="宋体"/>
                <w:color w:val="auto"/>
                <w:szCs w:val="21"/>
                <w:highlight w:val="none"/>
              </w:rPr>
              <w:t>公布的最高投标限价：</w:t>
            </w:r>
            <w:r>
              <w:rPr>
                <w:rFonts w:hint="eastAsia" w:ascii="宋体" w:hAnsi="宋体" w:cs="宋体"/>
                <w:color w:val="auto"/>
                <w:szCs w:val="21"/>
                <w:highlight w:val="none"/>
                <w:u w:val="single"/>
              </w:rPr>
              <w:t xml:space="preserve"> 948305.41 </w:t>
            </w:r>
            <w:r>
              <w:rPr>
                <w:rFonts w:hint="eastAsia" w:ascii="宋体" w:hAnsi="宋体" w:cs="宋体"/>
                <w:color w:val="auto"/>
                <w:szCs w:val="21"/>
                <w:highlight w:val="none"/>
              </w:rPr>
              <w:t>元（其中含暂列金额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50000.00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元）。具体内容详见附件。</w:t>
            </w:r>
            <w:r>
              <w:rPr>
                <w:rFonts w:hint="eastAsia" w:ascii="宋体" w:hAnsi="宋体" w:cs="宋体"/>
                <w:b/>
                <w:bCs/>
                <w:color w:val="auto"/>
                <w:szCs w:val="21"/>
                <w:highlight w:val="none"/>
              </w:rPr>
              <w:t xml:space="preserve"> </w:t>
            </w:r>
          </w:p>
        </w:tc>
      </w:tr>
      <w:tr w14:paraId="44D556C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9A9B7BA">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E7F5E24">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53F0800E">
            <w:pPr>
              <w:spacing w:line="440" w:lineRule="exact"/>
              <w:rPr>
                <w:rFonts w:hint="eastAsia" w:ascii="宋体" w:hAnsi="宋体" w:cs="宋体"/>
                <w:color w:val="auto"/>
                <w:szCs w:val="21"/>
                <w:highlight w:val="none"/>
              </w:rPr>
            </w:pPr>
            <w:r>
              <w:rPr>
                <w:rFonts w:hint="eastAsia" w:ascii="宋体" w:hAnsi="宋体" w:cs="宋体"/>
                <w:color w:val="auto"/>
                <w:kern w:val="0"/>
                <w:szCs w:val="21"/>
                <w:highlight w:val="none"/>
              </w:rPr>
              <w:t>自投标人递交投标文件截止之日起计算90日历天。在此期限内，凡符合本招标文件要求的投标文件均保持有效。</w:t>
            </w:r>
          </w:p>
        </w:tc>
      </w:tr>
      <w:tr w14:paraId="2CBAEE22">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D85E1AC">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ABD06F0">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6666826B">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详见招标公告</w:t>
            </w:r>
          </w:p>
        </w:tc>
      </w:tr>
      <w:tr w14:paraId="6FA6130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8611C43">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0BF5359">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4F61908F">
            <w:pPr>
              <w:widowControl/>
              <w:spacing w:line="440" w:lineRule="exact"/>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电子投标文件须按格式文件要求签字或盖章，招标文件格式中要求“签章”部位，指签字或盖章后扫描上传。</w:t>
            </w:r>
          </w:p>
          <w:p w14:paraId="129EBBD8">
            <w:pPr>
              <w:spacing w:line="440" w:lineRule="exact"/>
              <w:rPr>
                <w:rFonts w:hint="eastAsia"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14:paraId="50D0EE9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96E803B">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0B933C8">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3FE06231">
            <w:pPr>
              <w:widowControl/>
              <w:spacing w:line="440" w:lineRule="exact"/>
              <w:jc w:val="left"/>
              <w:rPr>
                <w:rFonts w:hint="eastAsia" w:ascii="宋体" w:hAnsi="宋体" w:cs="宋体"/>
                <w:b/>
                <w:bCs/>
                <w:color w:val="auto"/>
                <w:kern w:val="0"/>
                <w:szCs w:val="21"/>
                <w:highlight w:val="none"/>
              </w:rPr>
            </w:pPr>
            <w:r>
              <w:rPr>
                <w:rFonts w:hint="eastAsia" w:ascii="宋体" w:hAnsi="宋体" w:cs="宋体"/>
                <w:b/>
                <w:color w:val="auto"/>
                <w:kern w:val="0"/>
                <w:szCs w:val="21"/>
                <w:highlight w:val="none"/>
              </w:rPr>
              <w:t>以电子邮件递交的电子投标文件：一份。以投标人在投标截止时间前电子邮件递交的电子投标文件为准，逾期提交的，投标文件将被拒绝。</w:t>
            </w:r>
          </w:p>
          <w:p w14:paraId="6C9D75CF">
            <w:pPr>
              <w:pStyle w:val="2"/>
              <w:spacing w:line="440" w:lineRule="exact"/>
              <w:ind w:left="0" w:leftChars="0" w:firstLine="0" w:firstLineChars="0"/>
              <w:rPr>
                <w:color w:val="auto"/>
                <w:highlight w:val="none"/>
              </w:rPr>
            </w:pPr>
            <w:r>
              <w:rPr>
                <w:rFonts w:hint="eastAsia" w:hAnsi="宋体" w:cs="宋体"/>
                <w:b/>
                <w:bCs/>
                <w:color w:val="auto"/>
                <w:kern w:val="0"/>
                <w:szCs w:val="21"/>
                <w:highlight w:val="none"/>
              </w:rPr>
              <w:t>（投标单位中标后须递交与网上电子投标文件完全一致的纸质版投标文件，并按要求加盖公章；份数：正本1份，副本4份；中标单位领取中标通知书时，一并递交给代理机构）</w:t>
            </w:r>
          </w:p>
        </w:tc>
      </w:tr>
      <w:tr w14:paraId="2E7935F7">
        <w:tblPrEx>
          <w:tblCellMar>
            <w:top w:w="0" w:type="dxa"/>
            <w:left w:w="108" w:type="dxa"/>
            <w:bottom w:w="0" w:type="dxa"/>
            <w:right w:w="108" w:type="dxa"/>
          </w:tblCellMar>
        </w:tblPrEx>
        <w:trPr>
          <w:jc w:val="center"/>
        </w:trPr>
        <w:tc>
          <w:tcPr>
            <w:tcW w:w="868" w:type="dxa"/>
            <w:vMerge w:val="restart"/>
            <w:tcBorders>
              <w:top w:val="single" w:color="auto" w:sz="4" w:space="0"/>
              <w:left w:val="single" w:color="auto" w:sz="4" w:space="0"/>
              <w:right w:val="single" w:color="auto" w:sz="4" w:space="0"/>
            </w:tcBorders>
            <w:noWrap/>
            <w:vAlign w:val="center"/>
          </w:tcPr>
          <w:p w14:paraId="20E8D555">
            <w:pPr>
              <w:autoSpaceDE w:val="0"/>
              <w:spacing w:line="440" w:lineRule="exact"/>
              <w:jc w:val="center"/>
              <w:rPr>
                <w:rFonts w:hint="eastAsia" w:ascii="宋体" w:hAnsi="宋体" w:cs="宋体"/>
                <w:color w:val="auto"/>
                <w:szCs w:val="21"/>
                <w:highlight w:val="none"/>
              </w:rPr>
            </w:pPr>
            <w:r>
              <w:rPr>
                <w:rFonts w:hint="eastAsia" w:ascii="宋体" w:hAnsi="宋体" w:cs="宋体"/>
                <w:color w:val="auto"/>
                <w:highlight w:val="none"/>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100210">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投标截止时间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35D82FF0">
            <w:pPr>
              <w:spacing w:line="440" w:lineRule="exact"/>
              <w:ind w:firstLine="18" w:firstLineChars="9"/>
              <w:rPr>
                <w:rFonts w:hint="eastAsia" w:ascii="宋体" w:hAnsi="宋体" w:cs="宋体"/>
                <w:color w:val="auto"/>
                <w:szCs w:val="21"/>
                <w:highlight w:val="none"/>
              </w:rPr>
            </w:pPr>
            <w:r>
              <w:rPr>
                <w:rFonts w:hint="eastAsia" w:ascii="宋体" w:hAnsi="宋体" w:cs="宋体"/>
                <w:color w:val="auto"/>
                <w:szCs w:val="21"/>
                <w:highlight w:val="none"/>
              </w:rPr>
              <w:t>2024年9月</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时00分（北京时间）</w:t>
            </w:r>
          </w:p>
        </w:tc>
      </w:tr>
      <w:tr w14:paraId="5161C94B">
        <w:tblPrEx>
          <w:tblCellMar>
            <w:top w:w="0" w:type="dxa"/>
            <w:left w:w="108" w:type="dxa"/>
            <w:bottom w:w="0" w:type="dxa"/>
            <w:right w:w="108" w:type="dxa"/>
          </w:tblCellMar>
        </w:tblPrEx>
        <w:trPr>
          <w:jc w:val="center"/>
        </w:trPr>
        <w:tc>
          <w:tcPr>
            <w:tcW w:w="868" w:type="dxa"/>
            <w:vMerge w:val="continue"/>
            <w:tcBorders>
              <w:left w:val="single" w:color="auto" w:sz="4" w:space="0"/>
              <w:bottom w:val="single" w:color="auto" w:sz="4" w:space="0"/>
              <w:right w:val="single" w:color="auto" w:sz="4" w:space="0"/>
            </w:tcBorders>
            <w:noWrap/>
            <w:vAlign w:val="center"/>
          </w:tcPr>
          <w:p w14:paraId="3B595A79">
            <w:pPr>
              <w:autoSpaceDE w:val="0"/>
              <w:spacing w:line="440" w:lineRule="exact"/>
              <w:jc w:val="center"/>
              <w:rPr>
                <w:rFonts w:hint="eastAsia" w:ascii="宋体" w:hAnsi="宋体" w:cs="宋体"/>
                <w:color w:val="auto"/>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D2BBFF7">
            <w:pPr>
              <w:spacing w:line="440" w:lineRule="exact"/>
              <w:jc w:val="center"/>
              <w:rPr>
                <w:rFonts w:ascii="宋体"/>
                <w:color w:val="auto"/>
                <w:szCs w:val="21"/>
                <w:highlight w:val="none"/>
              </w:rPr>
            </w:pPr>
            <w:r>
              <w:rPr>
                <w:rFonts w:hint="eastAsia" w:ascii="宋体"/>
                <w:color w:val="auto"/>
                <w:szCs w:val="21"/>
                <w:highlight w:val="none"/>
              </w:rPr>
              <w:t>投标文件的提交</w:t>
            </w:r>
          </w:p>
        </w:tc>
        <w:tc>
          <w:tcPr>
            <w:tcW w:w="7251" w:type="dxa"/>
            <w:tcBorders>
              <w:top w:val="single" w:color="auto" w:sz="4" w:space="0"/>
              <w:left w:val="single" w:color="auto" w:sz="4" w:space="0"/>
              <w:bottom w:val="single" w:color="auto" w:sz="4" w:space="0"/>
              <w:right w:val="single" w:color="auto" w:sz="4" w:space="0"/>
            </w:tcBorders>
            <w:noWrap/>
            <w:vAlign w:val="center"/>
          </w:tcPr>
          <w:p w14:paraId="5F8A1C9D">
            <w:pPr>
              <w:spacing w:line="44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1、本项目的投标人无需到达开标现场，投标文件采用加密电子文件（压缩包）在投标截止时间前通过邮箱发送至代理机构邮箱（czsctgczx@163.com），命名为“公司名称+项目名称+联系人+联系电话”。未在规定时间内发送PDF格式投标文件的，投标文件将被拒绝，投标文件送达时间以邮箱显示的邮件送达时间为准，若投标单位重复发送电子投标文件的，将以投标截止时间前最后收到的投标文件为准,投标文件无法打开的，由投标人自行承担后果。</w:t>
            </w:r>
          </w:p>
          <w:p w14:paraId="26CF70C8">
            <w:pPr>
              <w:spacing w:line="44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2、各投标人须在投标截止时间后10分钟内，将投标文件解压密码通过邮箱发送至代理机构邮箱（czsctgczx@163.com）。逾期发送或未发送或发送材料无法识别的，投标将被拒绝。</w:t>
            </w:r>
          </w:p>
          <w:p w14:paraId="021C3F06">
            <w:pPr>
              <w:spacing w:line="44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注：发送解压密码的邮箱应与加密电子投标文件一致。</w:t>
            </w:r>
          </w:p>
        </w:tc>
      </w:tr>
      <w:tr w14:paraId="4D14905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C4F7F6A">
            <w:pPr>
              <w:autoSpaceDE w:val="0"/>
              <w:spacing w:line="440" w:lineRule="exact"/>
              <w:jc w:val="center"/>
              <w:rPr>
                <w:rFonts w:hint="eastAsia" w:ascii="宋体" w:hAnsi="宋体" w:cs="宋体"/>
                <w:color w:val="auto"/>
                <w:highlight w:val="none"/>
              </w:rPr>
            </w:pPr>
            <w:r>
              <w:rPr>
                <w:rFonts w:hint="eastAsia" w:ascii="宋体" w:hAnsi="宋体" w:cs="宋体"/>
                <w:color w:val="auto"/>
                <w:highlight w:val="none"/>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0A722D4">
            <w:pPr>
              <w:autoSpaceDE w:val="0"/>
              <w:spacing w:line="440" w:lineRule="exact"/>
              <w:jc w:val="center"/>
              <w:rPr>
                <w:rFonts w:hint="eastAsia" w:ascii="宋体" w:hAnsi="宋体" w:cs="宋体"/>
                <w:color w:val="auto"/>
                <w:szCs w:val="21"/>
                <w:highlight w:val="none"/>
                <w:u w:color="000000"/>
                <w:lang w:bidi="ar"/>
              </w:rPr>
            </w:pPr>
            <w:r>
              <w:rPr>
                <w:rFonts w:hint="eastAsia" w:ascii="宋体" w:hAnsi="宋体" w:cs="宋体"/>
                <w:color w:val="auto"/>
                <w:szCs w:val="21"/>
                <w:highlight w:val="none"/>
                <w:u w:color="000000"/>
                <w:lang w:bidi="ar"/>
              </w:rPr>
              <w:t>是否允许递交备选投标方案</w:t>
            </w:r>
          </w:p>
        </w:tc>
        <w:tc>
          <w:tcPr>
            <w:tcW w:w="7251" w:type="dxa"/>
            <w:tcBorders>
              <w:top w:val="single" w:color="auto" w:sz="4" w:space="0"/>
              <w:left w:val="single" w:color="auto" w:sz="4" w:space="0"/>
              <w:bottom w:val="single" w:color="auto" w:sz="4" w:space="0"/>
              <w:right w:val="single" w:color="auto" w:sz="4" w:space="0"/>
            </w:tcBorders>
            <w:noWrap/>
            <w:vAlign w:val="center"/>
          </w:tcPr>
          <w:p w14:paraId="64A0BC3B">
            <w:pPr>
              <w:autoSpaceDE w:val="0"/>
              <w:spacing w:line="440" w:lineRule="exact"/>
              <w:jc w:val="left"/>
              <w:rPr>
                <w:rFonts w:hint="eastAsia" w:ascii="宋体" w:hAnsi="宋体" w:cs="宋体"/>
                <w:color w:val="auto"/>
                <w:szCs w:val="21"/>
                <w:highlight w:val="none"/>
                <w:u w:color="000000"/>
                <w:lang w:bidi="ar"/>
              </w:rPr>
            </w:pPr>
            <w:r>
              <w:rPr>
                <w:rFonts w:hint="eastAsia" w:ascii="宋体" w:hAnsi="宋体" w:cs="宋体"/>
                <w:color w:val="auto"/>
                <w:szCs w:val="21"/>
                <w:highlight w:val="none"/>
                <w:u w:color="000000"/>
                <w:lang w:bidi="ar"/>
              </w:rPr>
              <w:t>☑不允许；</w:t>
            </w:r>
          </w:p>
          <w:p w14:paraId="4EE59F3A">
            <w:pPr>
              <w:autoSpaceDE w:val="0"/>
              <w:spacing w:line="440" w:lineRule="exact"/>
              <w:jc w:val="left"/>
              <w:rPr>
                <w:rFonts w:hint="eastAsia" w:ascii="宋体" w:hAnsi="宋体" w:cs="宋体"/>
                <w:color w:val="auto"/>
                <w:szCs w:val="21"/>
                <w:highlight w:val="none"/>
                <w:u w:color="000000"/>
                <w:lang w:bidi="ar"/>
              </w:rPr>
            </w:pPr>
            <w:r>
              <w:rPr>
                <w:rFonts w:hint="eastAsia" w:ascii="宋体" w:hAnsi="宋体" w:cs="宋体"/>
                <w:color w:val="auto"/>
                <w:szCs w:val="21"/>
                <w:highlight w:val="none"/>
                <w:u w:color="000000"/>
                <w:lang w:bidi="ar"/>
              </w:rPr>
              <w:t>□允许：/</w:t>
            </w:r>
          </w:p>
        </w:tc>
      </w:tr>
      <w:tr w14:paraId="5A53479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578C419">
            <w:pPr>
              <w:autoSpaceDE w:val="0"/>
              <w:spacing w:line="440" w:lineRule="exact"/>
              <w:jc w:val="center"/>
              <w:rPr>
                <w:rFonts w:hint="eastAsia" w:ascii="宋体" w:hAnsi="宋体" w:cs="宋体"/>
                <w:color w:val="auto"/>
                <w:szCs w:val="21"/>
                <w:highlight w:val="none"/>
              </w:rPr>
            </w:pPr>
            <w:r>
              <w:rPr>
                <w:rFonts w:hint="eastAsia" w:ascii="宋体" w:hAnsi="宋体" w:cs="宋体"/>
                <w:color w:val="auto"/>
                <w:highlight w:val="none"/>
              </w:rPr>
              <w:t>27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854ACAF">
            <w:pPr>
              <w:autoSpaceDE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u w:color="000000"/>
                <w:lang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5FC22968">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u w:color="000000"/>
                <w:lang w:bidi="ar"/>
              </w:rPr>
              <w:t>否</w:t>
            </w:r>
          </w:p>
        </w:tc>
      </w:tr>
      <w:tr w14:paraId="7E5F74D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282C11F">
            <w:pPr>
              <w:autoSpaceDE w:val="0"/>
              <w:spacing w:line="440" w:lineRule="exact"/>
              <w:jc w:val="center"/>
              <w:rPr>
                <w:rFonts w:hint="eastAsia" w:ascii="宋体" w:hAnsi="宋体" w:cs="宋体"/>
                <w:color w:val="auto"/>
                <w:szCs w:val="21"/>
                <w:highlight w:val="none"/>
              </w:rPr>
            </w:pPr>
            <w:r>
              <w:rPr>
                <w:rFonts w:hint="eastAsia" w:ascii="宋体" w:hAnsi="宋体" w:cs="宋体"/>
                <w:color w:val="auto"/>
                <w:highlight w:val="none"/>
              </w:rPr>
              <w:t>28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250A191">
            <w:pPr>
              <w:autoSpaceDE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u w:color="000000"/>
                <w:lang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1A59AF92">
            <w:pPr>
              <w:autoSpaceDE w:val="0"/>
              <w:spacing w:line="440" w:lineRule="exact"/>
              <w:rPr>
                <w:rFonts w:hint="eastAsia" w:ascii="宋体" w:hAnsi="宋体" w:cs="宋体"/>
                <w:color w:val="auto"/>
                <w:szCs w:val="21"/>
                <w:highlight w:val="none"/>
                <w:u w:color="000000"/>
                <w:lang w:bidi="ar"/>
              </w:rPr>
            </w:pPr>
            <w:r>
              <w:rPr>
                <w:rFonts w:hint="eastAsia" w:ascii="宋体" w:hAnsi="宋体" w:cs="宋体"/>
                <w:color w:val="auto"/>
                <w:szCs w:val="21"/>
                <w:highlight w:val="none"/>
                <w:u w:color="000000"/>
                <w:lang w:bidi="ar"/>
              </w:rPr>
              <w:t>开标时间：同投标截止时间</w:t>
            </w:r>
          </w:p>
          <w:p w14:paraId="5522A34B">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u w:color="000000"/>
                <w:lang w:bidi="ar"/>
              </w:rPr>
              <w:t>开标地点：</w:t>
            </w:r>
            <w:r>
              <w:rPr>
                <w:rFonts w:hint="eastAsia" w:ascii="宋体" w:hAnsi="宋体" w:cs="宋体"/>
                <w:color w:val="auto"/>
                <w:szCs w:val="21"/>
                <w:highlight w:val="none"/>
              </w:rPr>
              <w:t>滁州市城投工程咨询管理有限公司622会议室(滁州市龙蟠大道109号房产大厦六楼)</w:t>
            </w:r>
          </w:p>
        </w:tc>
      </w:tr>
      <w:tr w14:paraId="23F7646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00D92D7">
            <w:pPr>
              <w:autoSpaceDE w:val="0"/>
              <w:spacing w:line="440" w:lineRule="exact"/>
              <w:jc w:val="center"/>
              <w:rPr>
                <w:rFonts w:hint="eastAsia" w:ascii="宋体" w:hAnsi="宋体" w:cs="宋体"/>
                <w:color w:val="auto"/>
                <w:szCs w:val="21"/>
                <w:highlight w:val="none"/>
              </w:rPr>
            </w:pPr>
            <w:r>
              <w:rPr>
                <w:rFonts w:hint="eastAsia" w:ascii="宋体" w:hAnsi="宋体" w:cs="宋体"/>
                <w:color w:val="auto"/>
                <w:highlight w:val="none"/>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8DDE540">
            <w:pPr>
              <w:autoSpaceDE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u w:color="000000"/>
                <w:lang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176D527D">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由代理机构开启电子投标文件，报评标委员会评审。</w:t>
            </w:r>
          </w:p>
        </w:tc>
      </w:tr>
      <w:tr w14:paraId="192A2758">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72E8297">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7CEA7C5">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46382A91">
            <w:pPr>
              <w:spacing w:line="440" w:lineRule="exact"/>
              <w:rPr>
                <w:rFonts w:hint="eastAsia" w:ascii="宋体" w:hAnsi="宋体" w:cs="宋体"/>
                <w:color w:val="auto"/>
                <w:szCs w:val="21"/>
                <w:highlight w:val="none"/>
              </w:rPr>
            </w:pPr>
            <w:r>
              <w:rPr>
                <w:rFonts w:hint="eastAsia" w:ascii="宋体" w:hAnsi="宋体" w:cs="宋体"/>
                <w:color w:val="auto"/>
                <w:szCs w:val="21"/>
                <w:highlight w:val="none"/>
                <w:u w:color="000000"/>
                <w:lang w:bidi="ar"/>
              </w:rPr>
              <w:t>评标委员会由招标人依法组建。</w:t>
            </w:r>
          </w:p>
        </w:tc>
      </w:tr>
      <w:tr w14:paraId="374D9FA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8663595">
            <w:pPr>
              <w:spacing w:line="440" w:lineRule="exact"/>
              <w:jc w:val="center"/>
              <w:rPr>
                <w:rFonts w:hint="eastAsia" w:ascii="宋体" w:hAnsi="宋体" w:cs="宋体"/>
                <w:b/>
                <w:bCs/>
                <w:color w:val="auto"/>
                <w:szCs w:val="21"/>
                <w:highlight w:val="none"/>
              </w:rPr>
            </w:pPr>
            <w:r>
              <w:rPr>
                <w:rFonts w:hint="eastAsia" w:ascii="宋体" w:hAnsi="宋体" w:cs="宋体"/>
                <w:color w:val="auto"/>
                <w:szCs w:val="21"/>
                <w:highlight w:val="none"/>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ECA846E">
            <w:pPr>
              <w:spacing w:line="44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0E4CE83C">
            <w:pPr>
              <w:spacing w:line="440" w:lineRule="exact"/>
              <w:rPr>
                <w:rFonts w:hint="eastAsia" w:ascii="宋体" w:hAnsi="宋体" w:cs="宋体"/>
                <w:bCs/>
                <w:color w:val="auto"/>
                <w:szCs w:val="21"/>
                <w:highlight w:val="none"/>
              </w:rPr>
            </w:pPr>
            <w:r>
              <w:rPr>
                <w:rFonts w:hint="eastAsia" w:ascii="宋体" w:hAnsi="宋体" w:cs="宋体"/>
                <w:color w:val="auto"/>
                <w:szCs w:val="21"/>
                <w:highlight w:val="none"/>
              </w:rPr>
              <w:t>3名，并标明排序。</w:t>
            </w:r>
          </w:p>
        </w:tc>
      </w:tr>
      <w:tr w14:paraId="699BE530">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32A0E23">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32</w:t>
            </w:r>
          </w:p>
        </w:tc>
        <w:tc>
          <w:tcPr>
            <w:tcW w:w="2209" w:type="dxa"/>
            <w:gridSpan w:val="2"/>
            <w:tcBorders>
              <w:top w:val="single" w:color="auto" w:sz="4" w:space="0"/>
              <w:left w:val="single" w:color="auto" w:sz="4" w:space="0"/>
              <w:right w:val="single" w:color="auto" w:sz="4" w:space="0"/>
            </w:tcBorders>
            <w:noWrap/>
            <w:vAlign w:val="center"/>
          </w:tcPr>
          <w:p w14:paraId="4FADBE52">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14:paraId="4B438B6B">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公示媒介：同招标公告发布媒介</w:t>
            </w:r>
          </w:p>
          <w:p w14:paraId="2B27B53C">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公示期限：公示发布次日起3日（如公示第三日为休息日或节假日，则顺延至休息日或节假日后第一个工作日）</w:t>
            </w:r>
          </w:p>
        </w:tc>
      </w:tr>
      <w:tr w14:paraId="6625D64D">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F3C63E7">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2209" w:type="dxa"/>
            <w:gridSpan w:val="2"/>
            <w:tcBorders>
              <w:top w:val="single" w:color="auto" w:sz="4" w:space="0"/>
              <w:left w:val="single" w:color="auto" w:sz="4" w:space="0"/>
              <w:right w:val="single" w:color="auto" w:sz="4" w:space="0"/>
            </w:tcBorders>
            <w:noWrap/>
            <w:vAlign w:val="center"/>
          </w:tcPr>
          <w:p w14:paraId="5C89BDD6">
            <w:pPr>
              <w:adjustRightInd w:val="0"/>
              <w:snapToGrid w:val="0"/>
              <w:spacing w:line="440" w:lineRule="exact"/>
              <w:rPr>
                <w:rFonts w:hint="eastAsia" w:ascii="宋体" w:hAnsi="宋体" w:cs="宋体"/>
                <w:color w:val="auto"/>
                <w:szCs w:val="21"/>
                <w:highlight w:val="none"/>
              </w:rPr>
            </w:pPr>
            <w:r>
              <w:rPr>
                <w:rFonts w:hint="eastAsia"/>
                <w:color w:val="auto"/>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65935AB7">
            <w:pPr>
              <w:widowControl/>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u w:color="000000"/>
                <w:lang w:bidi="ar"/>
              </w:rPr>
              <w:t>中标通知书须加盖招标人、招标代理公司公章后方可发出。</w:t>
            </w:r>
          </w:p>
        </w:tc>
      </w:tr>
      <w:tr w14:paraId="60866490">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3BB935B">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34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9EF2C13">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68919A83">
            <w:pPr>
              <w:spacing w:line="440" w:lineRule="exact"/>
              <w:rPr>
                <w:rFonts w:hint="eastAsia" w:ascii="宋体" w:hAnsi="宋体" w:cs="宋体"/>
                <w:bCs/>
                <w:color w:val="auto"/>
                <w:szCs w:val="21"/>
                <w:highlight w:val="none"/>
              </w:rPr>
            </w:pPr>
            <w:r>
              <w:rPr>
                <w:rFonts w:hint="eastAsia" w:ascii="宋体" w:hAnsi="宋体" w:cs="宋体"/>
                <w:bCs/>
                <w:color w:val="auto"/>
                <w:szCs w:val="21"/>
                <w:highlight w:val="none"/>
              </w:rPr>
              <w:t>履约担保的形式：支持银行转账、银行电汇、银行保函、担保机构担保、保证保险使用</w:t>
            </w:r>
            <w:r>
              <w:rPr>
                <w:rFonts w:hint="eastAsia" w:ascii="宋体" w:hAnsi="宋体" w:cs="宋体"/>
                <w:color w:val="auto"/>
                <w:szCs w:val="21"/>
                <w:highlight w:val="none"/>
              </w:rPr>
              <w:t xml:space="preserve"> </w:t>
            </w:r>
          </w:p>
          <w:p w14:paraId="524F3241">
            <w:pPr>
              <w:spacing w:line="440" w:lineRule="exact"/>
              <w:rPr>
                <w:rFonts w:hint="eastAsia" w:ascii="宋体" w:hAnsi="宋体" w:cs="宋体"/>
                <w:bCs/>
                <w:color w:val="auto"/>
                <w:szCs w:val="21"/>
                <w:highlight w:val="none"/>
              </w:rPr>
            </w:pPr>
            <w:r>
              <w:rPr>
                <w:rFonts w:hint="eastAsia" w:ascii="宋体" w:hAnsi="宋体" w:cs="宋体"/>
                <w:bCs/>
                <w:color w:val="auto"/>
                <w:szCs w:val="21"/>
                <w:highlight w:val="none"/>
              </w:rPr>
              <w:t>履约担保的金额：中标</w:t>
            </w:r>
            <w:r>
              <w:rPr>
                <w:rFonts w:hint="eastAsia" w:ascii="宋体" w:hAnsi="宋体" w:cs="宋体"/>
                <w:color w:val="auto"/>
                <w:szCs w:val="21"/>
                <w:highlight w:val="none"/>
              </w:rPr>
              <w:t>合同价款</w:t>
            </w:r>
            <w:r>
              <w:rPr>
                <w:rFonts w:hint="eastAsia" w:ascii="宋体" w:hAnsi="宋体" w:cs="宋体"/>
                <w:bCs/>
                <w:color w:val="auto"/>
                <w:szCs w:val="21"/>
                <w:highlight w:val="none"/>
              </w:rPr>
              <w:t>×2%</w:t>
            </w:r>
          </w:p>
          <w:p w14:paraId="4D7F3133">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注：投标保证金可转为履约保证金，金额不足的可按以上形式补齐。</w:t>
            </w:r>
          </w:p>
          <w:p w14:paraId="6C2F971E">
            <w:pPr>
              <w:pStyle w:val="42"/>
              <w:spacing w:beforeAutospacing="0" w:afterAutospacing="0" w:line="440" w:lineRule="exact"/>
              <w:jc w:val="both"/>
              <w:rPr>
                <w:rFonts w:hint="eastAsia"/>
                <w:color w:val="auto"/>
                <w:sz w:val="21"/>
                <w:szCs w:val="21"/>
                <w:highlight w:val="none"/>
              </w:rPr>
            </w:pPr>
            <w:r>
              <w:rPr>
                <w:rFonts w:hint="eastAsia"/>
                <w:color w:val="auto"/>
                <w:sz w:val="21"/>
                <w:szCs w:val="21"/>
                <w:highlight w:val="none"/>
              </w:rPr>
              <w:t xml:space="preserve">收款单位：中标后另行通知                 </w:t>
            </w:r>
          </w:p>
          <w:p w14:paraId="171280C7">
            <w:pPr>
              <w:pStyle w:val="42"/>
              <w:spacing w:beforeAutospacing="0" w:afterAutospacing="0" w:line="440" w:lineRule="exact"/>
              <w:jc w:val="both"/>
              <w:rPr>
                <w:rFonts w:hint="eastAsia"/>
                <w:color w:val="auto"/>
                <w:sz w:val="21"/>
                <w:szCs w:val="21"/>
                <w:highlight w:val="none"/>
              </w:rPr>
            </w:pPr>
            <w:r>
              <w:rPr>
                <w:rFonts w:hint="eastAsia"/>
                <w:color w:val="auto"/>
                <w:sz w:val="21"/>
                <w:szCs w:val="21"/>
                <w:highlight w:val="none"/>
              </w:rPr>
              <w:t xml:space="preserve">开户银行：中标后另行通知                   </w:t>
            </w:r>
          </w:p>
          <w:p w14:paraId="57981319">
            <w:pPr>
              <w:pStyle w:val="42"/>
              <w:spacing w:beforeAutospacing="0" w:afterAutospacing="0" w:line="440" w:lineRule="exact"/>
              <w:jc w:val="both"/>
              <w:rPr>
                <w:rFonts w:hint="eastAsia"/>
                <w:color w:val="auto"/>
                <w:sz w:val="21"/>
                <w:szCs w:val="21"/>
                <w:highlight w:val="none"/>
              </w:rPr>
            </w:pPr>
            <w:r>
              <w:rPr>
                <w:rFonts w:hint="eastAsia"/>
                <w:color w:val="auto"/>
                <w:sz w:val="21"/>
                <w:szCs w:val="21"/>
                <w:highlight w:val="none"/>
              </w:rPr>
              <w:t xml:space="preserve">银行账号：中标后另行通知                   </w:t>
            </w:r>
          </w:p>
          <w:p w14:paraId="6BB313C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缴纳时限：中标人须在中标通知书发出后7日内完成履约保证金或履约保函缴纳及合同签订。中标单位原因造成合同延期签订的，每延期一天按</w:t>
            </w:r>
            <w:r>
              <w:rPr>
                <w:rFonts w:hint="eastAsia" w:ascii="宋体" w:hAnsi="宋体" w:cs="宋体"/>
                <w:color w:val="auto"/>
                <w:szCs w:val="21"/>
                <w:highlight w:val="none"/>
              </w:rPr>
              <w:t>3000</w:t>
            </w:r>
            <w:r>
              <w:rPr>
                <w:rFonts w:hint="eastAsia" w:ascii="宋体" w:hAnsi="宋体" w:cs="宋体"/>
                <w:color w:val="auto"/>
                <w:szCs w:val="21"/>
                <w:highlight w:val="none"/>
              </w:rPr>
              <w:t xml:space="preserve">元处以违约金，延期签订情节严重的，招标人有权取消其中标资格。并承担给招标人造成的损失，同时依法承担相应法律责任。  </w:t>
            </w:r>
          </w:p>
          <w:p w14:paraId="3A827826">
            <w:pPr>
              <w:pStyle w:val="42"/>
              <w:spacing w:beforeAutospacing="0" w:afterAutospacing="0" w:line="440" w:lineRule="exact"/>
              <w:jc w:val="both"/>
              <w:rPr>
                <w:rFonts w:hint="eastAsia"/>
                <w:color w:val="auto"/>
                <w:sz w:val="21"/>
                <w:szCs w:val="21"/>
                <w:highlight w:val="none"/>
              </w:rPr>
            </w:pPr>
            <w:r>
              <w:rPr>
                <w:rFonts w:hint="eastAsia"/>
                <w:color w:val="auto"/>
                <w:sz w:val="21"/>
                <w:szCs w:val="21"/>
                <w:highlight w:val="none"/>
              </w:rPr>
              <w:t>履约保证金退还时限：履约保证金有效期满7日内。</w:t>
            </w:r>
          </w:p>
          <w:p w14:paraId="005C0489">
            <w:pPr>
              <w:pStyle w:val="42"/>
              <w:spacing w:beforeAutospacing="0" w:afterAutospacing="0" w:line="440" w:lineRule="exact"/>
              <w:jc w:val="both"/>
              <w:rPr>
                <w:rFonts w:hint="eastAsia"/>
                <w:color w:val="auto"/>
                <w:sz w:val="21"/>
                <w:szCs w:val="21"/>
                <w:highlight w:val="none"/>
              </w:rPr>
            </w:pPr>
            <w:r>
              <w:rPr>
                <w:rFonts w:hint="eastAsia"/>
                <w:color w:val="auto"/>
                <w:sz w:val="21"/>
                <w:szCs w:val="21"/>
                <w:highlight w:val="none"/>
              </w:rPr>
              <w:t>其他相关要求：</w:t>
            </w:r>
          </w:p>
          <w:p w14:paraId="39A71AD4">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①保函形式须为见索即付型（无条件保函）；②须有保函编号；③须加盖银行公章而非银行业务专用章；④格式见合同附件；⑤保函的有效期不低于本项目质量验收合格后；⑥须由滁州本地银行或在滁州具有分支机构的银行出具。 </w:t>
            </w:r>
          </w:p>
        </w:tc>
      </w:tr>
      <w:tr w14:paraId="31DEF37B">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A0B9B58">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35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7A8F443">
            <w:pPr>
              <w:spacing w:line="440" w:lineRule="exact"/>
              <w:jc w:val="center"/>
              <w:rPr>
                <w:rFonts w:hint="eastAsia" w:ascii="宋体" w:hAnsi="宋体" w:cs="宋体"/>
                <w:color w:val="auto"/>
                <w:szCs w:val="21"/>
                <w:highlight w:val="none"/>
              </w:rPr>
            </w:pPr>
            <w:r>
              <w:rPr>
                <w:rFonts w:hint="eastAsia" w:ascii="宋体" w:hAnsi="宋体" w:cs="宋体"/>
                <w:b/>
                <w:bCs/>
                <w:color w:val="auto"/>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1822EA56">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当月完成进度计划的合格分部分项工程按85%付进度款，竣工验收合格并结算审计完成后付至结算总造价的98%</w:t>
            </w:r>
            <w:r>
              <w:rPr>
                <w:rFonts w:hint="eastAsia" w:ascii="宋体" w:hAnsi="宋体" w:cs="宋体"/>
                <w:color w:val="auto"/>
                <w:szCs w:val="21"/>
                <w:highlight w:val="none"/>
              </w:rPr>
              <w:t>，剩余2%作为工程质量保证金，工程缺陷责任期（缺陷责任期一年，从验收合格之日起计算）满回访合格后一个月内付清。质量保证金支持保函（银行保函、担保机构担保、保证保险）使用。采用保函的不再从工程进度款中扣留质量保证金，保函有效期须与工程缺陷责任期截止时间保持一致。</w:t>
            </w:r>
          </w:p>
        </w:tc>
      </w:tr>
      <w:tr w14:paraId="7EF8C5BC">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450F36A2">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需要补充的其他内容</w:t>
            </w:r>
          </w:p>
        </w:tc>
      </w:tr>
      <w:tr w14:paraId="11DE59E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79E0778A">
            <w:pPr>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10E77BA7">
            <w:pP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代理服务具体金额：4900元</w:t>
            </w:r>
            <w:r>
              <w:rPr>
                <w:rFonts w:hint="eastAsia" w:ascii="宋体" w:hAnsi="宋体" w:cs="宋体"/>
                <w:bCs/>
                <w:color w:val="auto"/>
                <w:kern w:val="0"/>
                <w:highlight w:val="none"/>
              </w:rPr>
              <w:t>。</w:t>
            </w:r>
          </w:p>
          <w:p w14:paraId="321CEECA">
            <w:pPr>
              <w:spacing w:line="440" w:lineRule="exact"/>
              <w:rPr>
                <w:rFonts w:hint="eastAsia"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：中标单位，</w:t>
            </w:r>
            <w:r>
              <w:rPr>
                <w:rFonts w:hint="eastAsia" w:ascii="宋体" w:hAnsi="宋体" w:cs="宋体"/>
                <w:color w:val="auto"/>
                <w:kern w:val="0"/>
                <w:szCs w:val="21"/>
                <w:highlight w:val="none"/>
              </w:rPr>
              <w:t>由中标单位在领取中标通知书时，一次性支付给代理机构。</w:t>
            </w:r>
          </w:p>
        </w:tc>
      </w:tr>
      <w:tr w14:paraId="2A157EFD">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51B62F9">
            <w:pPr>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0A7530C9">
            <w:pPr>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费用或支付标准：以实际发生为准。</w:t>
            </w:r>
          </w:p>
          <w:p w14:paraId="17E941EC">
            <w:pPr>
              <w:spacing w:line="440" w:lineRule="exact"/>
              <w:rPr>
                <w:rFonts w:hint="eastAsia" w:ascii="宋体" w:hAnsi="宋体" w:cs="宋体"/>
                <w:color w:val="auto"/>
                <w:kern w:val="0"/>
                <w:szCs w:val="21"/>
                <w:highlight w:val="none"/>
              </w:rPr>
            </w:pPr>
            <w:r>
              <w:rPr>
                <w:rFonts w:hint="eastAsia"/>
                <w:color w:val="auto"/>
                <w:szCs w:val="21"/>
                <w:highlight w:val="none"/>
              </w:rPr>
              <w:t>支付主体：中标单位</w:t>
            </w:r>
          </w:p>
        </w:tc>
      </w:tr>
      <w:tr w14:paraId="45B62FC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C8156B5">
            <w:pPr>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相关要求</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02F597CD">
            <w:pPr>
              <w:spacing w:line="440" w:lineRule="exact"/>
              <w:rPr>
                <w:color w:val="auto"/>
                <w:szCs w:val="21"/>
                <w:highlight w:val="none"/>
              </w:rPr>
            </w:pPr>
            <w:r>
              <w:rPr>
                <w:rFonts w:hint="eastAsia"/>
                <w:color w:val="auto"/>
                <w:szCs w:val="21"/>
                <w:highlight w:val="none"/>
              </w:rPr>
              <w:t>1、除非合同另有规定，工程量清单中有标价的单价和总价均已包括了为实施和完成合同工程所需的劳务、材料、机械、质检（自检）、安装、缺陷修复、管理、保险、税费、利润等费用，以及合同明示或暗示的所有责任、义务和一般风险。投标人应将工程量清单与交易文件、合同通用条款、专用条款以及技术规范和图纸一起对照阅读。</w:t>
            </w:r>
          </w:p>
          <w:p w14:paraId="05EA8D2E">
            <w:pPr>
              <w:spacing w:line="440" w:lineRule="exact"/>
              <w:rPr>
                <w:color w:val="auto"/>
                <w:szCs w:val="21"/>
                <w:highlight w:val="none"/>
              </w:rPr>
            </w:pPr>
            <w:r>
              <w:rPr>
                <w:rFonts w:hint="eastAsia"/>
                <w:color w:val="auto"/>
                <w:szCs w:val="21"/>
                <w:highlight w:val="none"/>
              </w:rPr>
              <w:t>2、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5C6246CA">
            <w:pPr>
              <w:spacing w:line="440" w:lineRule="exact"/>
              <w:rPr>
                <w:color w:val="auto"/>
                <w:szCs w:val="21"/>
                <w:highlight w:val="none"/>
              </w:rPr>
            </w:pPr>
            <w:r>
              <w:rPr>
                <w:rFonts w:hint="eastAsia"/>
                <w:color w:val="auto"/>
                <w:szCs w:val="21"/>
                <w:highlight w:val="none"/>
              </w:rPr>
              <w:t>3、承包人用于本合同工程的各类装备的提供、运输、维护、拆卸、拼装等支付的费用，已包括在工程量清单的单价与总价之中。</w:t>
            </w:r>
          </w:p>
          <w:p w14:paraId="3E375DC2">
            <w:pPr>
              <w:spacing w:line="440" w:lineRule="exact"/>
              <w:rPr>
                <w:color w:val="auto"/>
                <w:szCs w:val="21"/>
                <w:highlight w:val="none"/>
              </w:rPr>
            </w:pPr>
            <w:r>
              <w:rPr>
                <w:rFonts w:hint="eastAsia"/>
                <w:color w:val="auto"/>
                <w:szCs w:val="21"/>
                <w:highlight w:val="none"/>
              </w:rPr>
              <w:t>4、</w:t>
            </w:r>
            <w:r>
              <w:rPr>
                <w:rFonts w:hint="eastAsia"/>
                <w:b/>
                <w:bCs/>
                <w:color w:val="auto"/>
                <w:szCs w:val="21"/>
                <w:highlight w:val="none"/>
              </w:rPr>
              <w:t>本项目施工现场涉及的水电费用，由承包人承担，含在响应报价中。</w:t>
            </w:r>
          </w:p>
        </w:tc>
      </w:tr>
      <w:tr w14:paraId="1019667A">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E70ECFC">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63A37ADA">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0FE9062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2、本项目招标公告与本招标文件不一致之处，以本招标文件为准。</w:t>
            </w:r>
          </w:p>
          <w:p w14:paraId="41840D6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3、本项目严禁非法转包，一经发现，招标人依法处理。</w:t>
            </w:r>
          </w:p>
          <w:p w14:paraId="26D3A6AB">
            <w:pPr>
              <w:spacing w:line="440" w:lineRule="exact"/>
              <w:rPr>
                <w:rFonts w:hint="eastAsia" w:ascii="宋体" w:hAnsi="宋体" w:cs="宋体"/>
                <w:strike/>
                <w:color w:val="auto"/>
                <w:szCs w:val="21"/>
                <w:highlight w:val="none"/>
              </w:rPr>
            </w:pPr>
            <w:r>
              <w:rPr>
                <w:rFonts w:hint="eastAsia" w:ascii="宋体" w:hAnsi="宋体" w:cs="宋体"/>
                <w:color w:val="auto"/>
                <w:szCs w:val="21"/>
                <w:highlight w:val="none"/>
              </w:rPr>
              <w:t>4、本文件的最终解释权归招标人、招标代理机构所有。</w:t>
            </w:r>
          </w:p>
        </w:tc>
      </w:tr>
    </w:tbl>
    <w:p w14:paraId="5BE6FE15">
      <w:pPr>
        <w:rPr>
          <w:rFonts w:hint="eastAsia" w:ascii="宋体" w:hAnsi="宋体" w:cs="宋体"/>
          <w:color w:val="auto"/>
          <w:sz w:val="24"/>
          <w:highlight w:val="none"/>
        </w:rPr>
      </w:pPr>
      <w:bookmarkStart w:id="59" w:name="_Toc35424887"/>
      <w:bookmarkStart w:id="60" w:name="_Toc5813"/>
      <w:bookmarkStart w:id="61" w:name="_Toc78803322"/>
      <w:bookmarkStart w:id="62" w:name="_Toc35425053"/>
      <w:bookmarkStart w:id="63" w:name="_Toc15058846"/>
      <w:r>
        <w:rPr>
          <w:rFonts w:hint="eastAsia" w:ascii="宋体" w:hAnsi="宋体" w:cs="宋体"/>
          <w:color w:val="auto"/>
          <w:sz w:val="24"/>
          <w:highlight w:val="none"/>
        </w:rPr>
        <w:br w:type="page"/>
      </w:r>
    </w:p>
    <w:p w14:paraId="097EAA83">
      <w:pPr>
        <w:pStyle w:val="7"/>
        <w:spacing w:before="120" w:beforeLines="50" w:after="120" w:afterLines="50" w:line="42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546012EB">
      <w:pPr>
        <w:pStyle w:val="7"/>
        <w:spacing w:line="420" w:lineRule="exact"/>
        <w:ind w:firstLine="422" w:firstLineChars="200"/>
        <w:rPr>
          <w:rFonts w:hint="eastAsia" w:ascii="宋体" w:hAnsi="宋体" w:eastAsia="宋体" w:cs="宋体"/>
          <w:color w:val="auto"/>
          <w:kern w:val="44"/>
          <w:highlight w:val="none"/>
        </w:rPr>
      </w:pPr>
      <w:bookmarkStart w:id="64" w:name="_Toc35425054"/>
      <w:bookmarkStart w:id="65" w:name="_Toc152045530"/>
      <w:bookmarkStart w:id="66" w:name="_Toc324404816"/>
      <w:bookmarkStart w:id="67" w:name="_Toc506107270"/>
      <w:bookmarkStart w:id="68" w:name="_Toc246996919"/>
      <w:bookmarkStart w:id="69" w:name="_Toc4678"/>
      <w:bookmarkStart w:id="70" w:name="_Toc247085690"/>
      <w:bookmarkStart w:id="71" w:name="_Toc144974498"/>
      <w:bookmarkStart w:id="72" w:name="_Toc78803323"/>
      <w:bookmarkStart w:id="73" w:name="_Toc179632547"/>
      <w:bookmarkStart w:id="74" w:name="_Toc246996176"/>
      <w:bookmarkStart w:id="75" w:name="_Toc15058847"/>
      <w:bookmarkStart w:id="76" w:name="_Toc296602421"/>
      <w:bookmarkStart w:id="77" w:name="_Toc152042306"/>
      <w:bookmarkStart w:id="78" w:name="_Toc35424888"/>
      <w:r>
        <w:rPr>
          <w:rFonts w:hint="eastAsia" w:ascii="宋体" w:hAnsi="宋体" w:eastAsia="宋体" w:cs="宋体"/>
          <w:color w:val="auto"/>
          <w:kern w:val="44"/>
          <w:highlight w:val="none"/>
        </w:rPr>
        <w:t>1.1 项目概况</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6B10B787">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160B18DC">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37C801B4">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410C6B75">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459EE101">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258EE836">
      <w:pPr>
        <w:pStyle w:val="7"/>
        <w:spacing w:line="420" w:lineRule="exact"/>
        <w:ind w:firstLine="422" w:firstLineChars="200"/>
        <w:rPr>
          <w:rFonts w:hint="eastAsia" w:ascii="宋体" w:hAnsi="宋体" w:eastAsia="宋体" w:cs="宋体"/>
          <w:color w:val="auto"/>
          <w:highlight w:val="none"/>
        </w:rPr>
      </w:pPr>
      <w:bookmarkStart w:id="79" w:name="_Toc7142"/>
      <w:bookmarkStart w:id="80" w:name="_Toc324404817"/>
      <w:bookmarkStart w:id="81" w:name="_Toc247085691"/>
      <w:bookmarkStart w:id="82" w:name="_Toc78803324"/>
      <w:bookmarkStart w:id="83" w:name="_Toc152045531"/>
      <w:bookmarkStart w:id="84" w:name="_Toc246996920"/>
      <w:bookmarkStart w:id="85" w:name="_Toc144974499"/>
      <w:bookmarkStart w:id="86" w:name="_Toc152042307"/>
      <w:bookmarkStart w:id="87" w:name="_Toc506107271"/>
      <w:bookmarkStart w:id="88" w:name="_Toc246996177"/>
      <w:bookmarkStart w:id="89" w:name="_Toc296602422"/>
      <w:bookmarkStart w:id="90" w:name="_Toc15058848"/>
      <w:bookmarkStart w:id="91" w:name="_Toc35424889"/>
      <w:bookmarkStart w:id="92" w:name="_Toc35425055"/>
      <w:bookmarkStart w:id="93" w:name="_Toc179632548"/>
      <w:r>
        <w:rPr>
          <w:rFonts w:hint="eastAsia" w:ascii="宋体" w:hAnsi="宋体" w:eastAsia="宋体" w:cs="宋体"/>
          <w:color w:val="auto"/>
          <w:highlight w:val="none"/>
        </w:rPr>
        <w:t>1.2 资金来源和落实情况</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55DEF1E4">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0C3A0632">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3DCC0667">
      <w:pPr>
        <w:pStyle w:val="7"/>
        <w:spacing w:line="420" w:lineRule="exact"/>
        <w:ind w:firstLine="422" w:firstLineChars="200"/>
        <w:rPr>
          <w:rFonts w:hint="eastAsia" w:ascii="宋体" w:hAnsi="宋体" w:eastAsia="宋体" w:cs="宋体"/>
          <w:color w:val="auto"/>
          <w:highlight w:val="none"/>
        </w:rPr>
      </w:pPr>
      <w:bookmarkStart w:id="94" w:name="_Toc324404818"/>
      <w:bookmarkStart w:id="95" w:name="_Toc78803325"/>
      <w:bookmarkStart w:id="96" w:name="_Toc246996178"/>
      <w:bookmarkStart w:id="97" w:name="_Toc296602423"/>
      <w:bookmarkStart w:id="98" w:name="_Toc247085692"/>
      <w:bookmarkStart w:id="99" w:name="_Toc6330"/>
      <w:bookmarkStart w:id="100" w:name="_Toc35424890"/>
      <w:bookmarkStart w:id="101" w:name="_Toc15058849"/>
      <w:bookmarkStart w:id="102" w:name="_Toc144974500"/>
      <w:bookmarkStart w:id="103" w:name="_Toc179632549"/>
      <w:bookmarkStart w:id="104" w:name="_Toc246996921"/>
      <w:bookmarkStart w:id="105" w:name="_Toc152045532"/>
      <w:bookmarkStart w:id="106" w:name="_Toc152042308"/>
      <w:bookmarkStart w:id="107" w:name="_Toc35425056"/>
      <w:bookmarkStart w:id="108" w:name="_Toc506107272"/>
      <w:r>
        <w:rPr>
          <w:rFonts w:hint="eastAsia" w:ascii="宋体" w:hAnsi="宋体" w:eastAsia="宋体" w:cs="宋体"/>
          <w:color w:val="auto"/>
          <w:highlight w:val="none"/>
        </w:rPr>
        <w:t>1.3 招标范围、工期、质量要求</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7E026CB3">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4E60AA37">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1.3.2 本招标项目的工期：见投标人须知前附表。</w:t>
      </w:r>
    </w:p>
    <w:p w14:paraId="5AD09AF1">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370F92F1">
      <w:pPr>
        <w:pStyle w:val="7"/>
        <w:spacing w:line="420" w:lineRule="exact"/>
        <w:ind w:firstLine="422" w:firstLineChars="200"/>
        <w:rPr>
          <w:rFonts w:hint="eastAsia" w:ascii="宋体" w:hAnsi="宋体" w:eastAsia="宋体" w:cs="宋体"/>
          <w:color w:val="auto"/>
          <w:highlight w:val="none"/>
        </w:rPr>
      </w:pPr>
      <w:bookmarkStart w:id="109" w:name="_Toc296602424"/>
      <w:bookmarkStart w:id="110" w:name="_Toc15058850"/>
      <w:bookmarkStart w:id="111" w:name="_Toc246996179"/>
      <w:bookmarkStart w:id="112" w:name="_Toc35425057"/>
      <w:bookmarkStart w:id="113" w:name="_Toc324404819"/>
      <w:bookmarkStart w:id="114" w:name="_Toc152042310"/>
      <w:bookmarkStart w:id="115" w:name="_Toc35424891"/>
      <w:bookmarkStart w:id="116" w:name="_Toc144974502"/>
      <w:bookmarkStart w:id="117" w:name="_Toc179632551"/>
      <w:bookmarkStart w:id="118" w:name="_Toc247085693"/>
      <w:bookmarkStart w:id="119" w:name="_Toc246996922"/>
      <w:bookmarkStart w:id="120" w:name="_Toc506107273"/>
      <w:bookmarkStart w:id="121" w:name="_Toc152045534"/>
      <w:bookmarkStart w:id="122" w:name="_Toc78803326"/>
      <w:bookmarkStart w:id="123" w:name="_Toc26897"/>
      <w:r>
        <w:rPr>
          <w:rFonts w:hint="eastAsia" w:ascii="宋体" w:hAnsi="宋体" w:eastAsia="宋体" w:cs="宋体"/>
          <w:color w:val="auto"/>
          <w:highlight w:val="none"/>
        </w:rPr>
        <w:t>1.4 投标人资格要求</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3150C67E">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1.4.1 投标人应具备承担本项目施工的资质条件、能力和信誉。</w:t>
      </w:r>
    </w:p>
    <w:p w14:paraId="271751FE">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（1）资质条件：见投标人须知前附表；</w:t>
      </w:r>
    </w:p>
    <w:p w14:paraId="40B4D785">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（2）项目经理资格：见投标人须知前附表；</w:t>
      </w:r>
    </w:p>
    <w:p w14:paraId="20D339D6">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（3）信誉要求：见投标人须知前附表；</w:t>
      </w:r>
    </w:p>
    <w:p w14:paraId="5F5E3E02">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（4）其他要求：见投标人须知前附表。</w:t>
      </w:r>
    </w:p>
    <w:p w14:paraId="25DA7411">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1AD42BA3">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2F7B4B5A">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6B8F2FF0">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562640F7">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17A9FD89">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2E334ACE">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（6）为本标段的发包人；</w:t>
      </w:r>
    </w:p>
    <w:p w14:paraId="68AB1C2F">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66AAFBB4">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7B94724C">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（9）与本标段的发包人或代建人或招标代理机构同为一个法定代表人；</w:t>
      </w:r>
    </w:p>
    <w:p w14:paraId="13BFE434">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（10）与本标段的发包人或代建人或招标代理机构存在控股或参股关系；</w:t>
      </w:r>
    </w:p>
    <w:p w14:paraId="6E5A15F5">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29FF1F68">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17505711">
      <w:pPr>
        <w:pStyle w:val="7"/>
        <w:spacing w:line="420" w:lineRule="exact"/>
        <w:ind w:firstLine="422" w:firstLineChars="200"/>
        <w:rPr>
          <w:rFonts w:hint="eastAsia" w:ascii="宋体" w:hAnsi="宋体" w:eastAsia="宋体" w:cs="宋体"/>
          <w:color w:val="auto"/>
          <w:highlight w:val="none"/>
        </w:rPr>
      </w:pPr>
      <w:bookmarkStart w:id="124" w:name="_Toc246996180"/>
      <w:bookmarkStart w:id="125" w:name="_Toc179632552"/>
      <w:bookmarkStart w:id="126" w:name="_Toc78803327"/>
      <w:bookmarkStart w:id="127" w:name="_Toc144974503"/>
      <w:bookmarkStart w:id="128" w:name="_Toc152045535"/>
      <w:bookmarkStart w:id="129" w:name="_Toc15058851"/>
      <w:bookmarkStart w:id="130" w:name="_Toc35425058"/>
      <w:bookmarkStart w:id="131" w:name="_Toc247085694"/>
      <w:bookmarkStart w:id="132" w:name="_Toc10179"/>
      <w:bookmarkStart w:id="133" w:name="_Toc35424892"/>
      <w:bookmarkStart w:id="134" w:name="_Toc506107274"/>
      <w:bookmarkStart w:id="135" w:name="_Toc152042311"/>
      <w:bookmarkStart w:id="136" w:name="_Toc324404820"/>
      <w:bookmarkStart w:id="137" w:name="_Toc296602425"/>
      <w:bookmarkStart w:id="138" w:name="_Toc246996923"/>
      <w:r>
        <w:rPr>
          <w:rFonts w:hint="eastAsia" w:ascii="宋体" w:hAnsi="宋体" w:eastAsia="宋体" w:cs="宋体"/>
          <w:color w:val="auto"/>
          <w:highlight w:val="none"/>
        </w:rPr>
        <w:t>1.5 费用承担</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1B99EE38">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69681F5B">
      <w:pPr>
        <w:pStyle w:val="7"/>
        <w:spacing w:line="420" w:lineRule="exact"/>
        <w:ind w:firstLine="422" w:firstLineChars="200"/>
        <w:rPr>
          <w:rFonts w:hint="eastAsia" w:ascii="宋体" w:hAnsi="宋体" w:eastAsia="宋体" w:cs="宋体"/>
          <w:color w:val="auto"/>
          <w:highlight w:val="none"/>
        </w:rPr>
      </w:pPr>
      <w:bookmarkStart w:id="139" w:name="_Toc324404821"/>
      <w:bookmarkStart w:id="140" w:name="_Toc246996924"/>
      <w:bookmarkStart w:id="141" w:name="_Toc4092"/>
      <w:bookmarkStart w:id="142" w:name="_Toc296602426"/>
      <w:bookmarkStart w:id="143" w:name="_Toc78803328"/>
      <w:bookmarkStart w:id="144" w:name="_Toc35424893"/>
      <w:bookmarkStart w:id="145" w:name="_Toc246996181"/>
      <w:bookmarkStart w:id="146" w:name="_Toc144974504"/>
      <w:bookmarkStart w:id="147" w:name="_Toc506107275"/>
      <w:bookmarkStart w:id="148" w:name="_Toc152042312"/>
      <w:bookmarkStart w:id="149" w:name="_Toc15058852"/>
      <w:bookmarkStart w:id="150" w:name="_Toc247085695"/>
      <w:bookmarkStart w:id="151" w:name="_Toc35425059"/>
      <w:bookmarkStart w:id="152" w:name="_Toc152045536"/>
      <w:bookmarkStart w:id="153" w:name="_Toc179632553"/>
      <w:r>
        <w:rPr>
          <w:rFonts w:hint="eastAsia" w:ascii="宋体" w:hAnsi="宋体" w:eastAsia="宋体" w:cs="宋体"/>
          <w:color w:val="auto"/>
          <w:highlight w:val="none"/>
        </w:rPr>
        <w:t>1.6 保密</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6ACC3655">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42755254">
      <w:pPr>
        <w:pStyle w:val="7"/>
        <w:spacing w:line="420" w:lineRule="exact"/>
        <w:ind w:firstLine="422" w:firstLineChars="200"/>
        <w:rPr>
          <w:rFonts w:hint="eastAsia" w:ascii="宋体" w:hAnsi="宋体" w:eastAsia="宋体" w:cs="宋体"/>
          <w:color w:val="auto"/>
          <w:highlight w:val="none"/>
        </w:rPr>
      </w:pPr>
      <w:bookmarkStart w:id="154" w:name="_Toc144974505"/>
      <w:bookmarkStart w:id="155" w:name="_Toc78803329"/>
      <w:bookmarkStart w:id="156" w:name="_Toc324404822"/>
      <w:bookmarkStart w:id="157" w:name="_Toc506107276"/>
      <w:bookmarkStart w:id="158" w:name="_Toc246996182"/>
      <w:bookmarkStart w:id="159" w:name="_Toc35425060"/>
      <w:bookmarkStart w:id="160" w:name="_Toc296602427"/>
      <w:bookmarkStart w:id="161" w:name="_Toc246996925"/>
      <w:bookmarkStart w:id="162" w:name="_Toc4119"/>
      <w:bookmarkStart w:id="163" w:name="_Toc35424894"/>
      <w:bookmarkStart w:id="164" w:name="_Toc152042313"/>
      <w:bookmarkStart w:id="165" w:name="_Toc247085696"/>
      <w:bookmarkStart w:id="166" w:name="_Toc179632554"/>
      <w:bookmarkStart w:id="167" w:name="_Toc152045537"/>
      <w:bookmarkStart w:id="168" w:name="_Toc15058853"/>
      <w:r>
        <w:rPr>
          <w:rFonts w:hint="eastAsia" w:ascii="宋体" w:hAnsi="宋体" w:eastAsia="宋体" w:cs="宋体"/>
          <w:color w:val="auto"/>
          <w:highlight w:val="none"/>
        </w:rPr>
        <w:t>1.7 语言</w:t>
      </w:r>
      <w:bookmarkEnd w:id="154"/>
      <w:r>
        <w:rPr>
          <w:rFonts w:hint="eastAsia" w:ascii="宋体" w:hAnsi="宋体" w:eastAsia="宋体" w:cs="宋体"/>
          <w:color w:val="auto"/>
          <w:highlight w:val="none"/>
        </w:rPr>
        <w:t>文字</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4F14E886">
      <w:pPr>
        <w:spacing w:line="420" w:lineRule="exact"/>
        <w:ind w:firstLine="420" w:firstLineChars="200"/>
        <w:jc w:val="left"/>
        <w:rPr>
          <w:rFonts w:hint="eastAsia" w:ascii="宋体" w:hAnsi="宋体" w:cs="宋体"/>
          <w:color w:val="auto"/>
          <w:szCs w:val="21"/>
          <w:highlight w:val="none"/>
        </w:rPr>
      </w:pPr>
      <w:bookmarkStart w:id="169" w:name="_Toc179632555"/>
      <w:bookmarkStart w:id="170" w:name="_Toc152045538"/>
      <w:bookmarkStart w:id="171" w:name="_Toc246996926"/>
      <w:bookmarkStart w:id="172" w:name="_Toc144974506"/>
      <w:bookmarkStart w:id="173" w:name="_Toc247085697"/>
      <w:bookmarkStart w:id="174" w:name="_Toc246996183"/>
      <w:bookmarkStart w:id="175" w:name="_Toc152042314"/>
      <w:r>
        <w:rPr>
          <w:rFonts w:hint="eastAsia" w:ascii="宋体" w:hAnsi="宋体" w:cs="宋体"/>
          <w:color w:val="auto"/>
          <w:szCs w:val="21"/>
          <w:highlight w:val="none"/>
        </w:rPr>
        <w:t>招标投标文件使用的语言文字为中文。专用术语使用外文的，应附有中文注释。</w:t>
      </w:r>
    </w:p>
    <w:p w14:paraId="10CB1152">
      <w:pPr>
        <w:pStyle w:val="7"/>
        <w:spacing w:line="420" w:lineRule="exact"/>
        <w:ind w:firstLine="422" w:firstLineChars="200"/>
        <w:rPr>
          <w:rFonts w:hint="eastAsia" w:ascii="宋体" w:hAnsi="宋体" w:eastAsia="宋体" w:cs="宋体"/>
          <w:color w:val="auto"/>
          <w:highlight w:val="none"/>
        </w:rPr>
      </w:pPr>
      <w:bookmarkStart w:id="176" w:name="_Toc15058854"/>
      <w:bookmarkStart w:id="177" w:name="_Toc35424895"/>
      <w:bookmarkStart w:id="178" w:name="_Toc78803330"/>
      <w:bookmarkStart w:id="179" w:name="_Toc506107277"/>
      <w:bookmarkStart w:id="180" w:name="_Toc324404823"/>
      <w:bookmarkStart w:id="181" w:name="_Toc35425061"/>
      <w:bookmarkStart w:id="182" w:name="_Toc296602428"/>
      <w:bookmarkStart w:id="183" w:name="_Toc13408"/>
      <w:r>
        <w:rPr>
          <w:rFonts w:hint="eastAsia" w:ascii="宋体" w:hAnsi="宋体" w:eastAsia="宋体" w:cs="宋体"/>
          <w:color w:val="auto"/>
          <w:highlight w:val="none"/>
        </w:rPr>
        <w:t>1.8 计量单位</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40A813DB">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74F4A2FE">
      <w:pPr>
        <w:pStyle w:val="7"/>
        <w:spacing w:line="420" w:lineRule="exact"/>
        <w:ind w:firstLine="422" w:firstLineChars="200"/>
        <w:rPr>
          <w:rFonts w:hint="eastAsia" w:ascii="宋体" w:hAnsi="宋体" w:eastAsia="宋体" w:cs="宋体"/>
          <w:color w:val="auto"/>
          <w:highlight w:val="none"/>
        </w:rPr>
      </w:pPr>
      <w:bookmarkStart w:id="184" w:name="_Toc247513962"/>
      <w:bookmarkStart w:id="185" w:name="_Toc11493"/>
      <w:bookmarkStart w:id="186" w:name="_Toc144974507"/>
      <w:bookmarkStart w:id="187" w:name="_Toc506107278"/>
      <w:bookmarkStart w:id="188" w:name="_Toc247527563"/>
      <w:bookmarkStart w:id="189" w:name="_Toc152045539"/>
      <w:bookmarkStart w:id="190" w:name="_Toc35424896"/>
      <w:bookmarkStart w:id="191" w:name="_Toc324404824"/>
      <w:bookmarkStart w:id="192" w:name="_Toc247592876"/>
      <w:bookmarkStart w:id="193" w:name="_Toc15058855"/>
      <w:bookmarkStart w:id="194" w:name="_Toc35425062"/>
      <w:bookmarkStart w:id="195" w:name="_Toc296602429"/>
      <w:bookmarkStart w:id="196" w:name="_Toc152042315"/>
      <w:bookmarkStart w:id="197" w:name="_Toc78803331"/>
      <w:r>
        <w:rPr>
          <w:rFonts w:hint="eastAsia" w:ascii="宋体" w:hAnsi="宋体" w:eastAsia="宋体" w:cs="宋体"/>
          <w:color w:val="auto"/>
          <w:highlight w:val="none"/>
        </w:rPr>
        <w:t>1.9 踏勘现场</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711A81AB">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674613D5">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262481E5">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63F8BCE6">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416873A0">
      <w:pPr>
        <w:pStyle w:val="7"/>
        <w:spacing w:line="420" w:lineRule="exact"/>
        <w:ind w:firstLine="422" w:firstLineChars="200"/>
        <w:rPr>
          <w:rFonts w:hint="eastAsia" w:ascii="宋体" w:hAnsi="宋体" w:eastAsia="宋体" w:cs="宋体"/>
          <w:color w:val="auto"/>
          <w:highlight w:val="none"/>
        </w:rPr>
      </w:pPr>
      <w:bookmarkStart w:id="198" w:name="_Toc506107279"/>
      <w:bookmarkStart w:id="199" w:name="_Toc15058856"/>
      <w:bookmarkStart w:id="200" w:name="_Toc247513963"/>
      <w:bookmarkStart w:id="201" w:name="_Toc247527564"/>
      <w:bookmarkStart w:id="202" w:name="_Toc152042316"/>
      <w:bookmarkStart w:id="203" w:name="_Toc296602430"/>
      <w:bookmarkStart w:id="204" w:name="_Toc78803332"/>
      <w:bookmarkStart w:id="205" w:name="_Toc144974508"/>
      <w:bookmarkStart w:id="206" w:name="_Toc324404825"/>
      <w:bookmarkStart w:id="207" w:name="_Toc152045540"/>
      <w:bookmarkStart w:id="208" w:name="_Toc22954"/>
      <w:bookmarkStart w:id="209" w:name="_Toc35424897"/>
      <w:bookmarkStart w:id="210" w:name="_Toc35425063"/>
      <w:bookmarkStart w:id="211" w:name="_Toc247592877"/>
      <w:r>
        <w:rPr>
          <w:rFonts w:hint="eastAsia" w:ascii="宋体" w:hAnsi="宋体" w:eastAsia="宋体" w:cs="宋体"/>
          <w:color w:val="auto"/>
          <w:highlight w:val="none"/>
        </w:rPr>
        <w:t>1.10 投标预备会</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3C78E8D0">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389E71A4">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209A3AB1">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6BC8EE4E">
      <w:pPr>
        <w:pStyle w:val="7"/>
        <w:spacing w:line="420" w:lineRule="exact"/>
        <w:ind w:firstLine="422" w:firstLineChars="200"/>
        <w:rPr>
          <w:rFonts w:hint="eastAsia" w:ascii="宋体" w:hAnsi="宋体" w:eastAsia="宋体" w:cs="宋体"/>
          <w:color w:val="auto"/>
          <w:highlight w:val="none"/>
        </w:rPr>
      </w:pPr>
      <w:bookmarkStart w:id="212" w:name="_Toc324404826"/>
      <w:bookmarkStart w:id="213" w:name="_Toc15058857"/>
      <w:bookmarkStart w:id="214" w:name="_Toc296602431"/>
      <w:bookmarkStart w:id="215" w:name="_Toc506107280"/>
      <w:bookmarkStart w:id="216" w:name="_Toc83301699"/>
      <w:bookmarkStart w:id="217" w:name="_Toc95223347"/>
      <w:bookmarkStart w:id="218" w:name="_Toc60061444"/>
      <w:bookmarkStart w:id="219" w:name="_Toc506107281"/>
      <w:bookmarkStart w:id="220" w:name="_Toc144974510"/>
      <w:bookmarkStart w:id="221" w:name="_Toc179632560"/>
      <w:bookmarkStart w:id="222" w:name="_Toc15058858"/>
      <w:bookmarkStart w:id="223" w:name="_Toc152042318"/>
      <w:bookmarkStart w:id="224" w:name="_Toc78803334"/>
      <w:bookmarkStart w:id="225" w:name="_Toc4012"/>
      <w:bookmarkStart w:id="226" w:name="_Toc35424899"/>
      <w:bookmarkStart w:id="227" w:name="_Toc247085701"/>
      <w:bookmarkStart w:id="228" w:name="_Toc246996187"/>
      <w:bookmarkStart w:id="229" w:name="_Toc35425065"/>
      <w:bookmarkStart w:id="230" w:name="_Toc324404827"/>
      <w:bookmarkStart w:id="231" w:name="_Toc152045542"/>
      <w:bookmarkStart w:id="232" w:name="_Toc246996930"/>
      <w:r>
        <w:rPr>
          <w:rFonts w:hint="eastAsia" w:ascii="宋体" w:hAnsi="宋体" w:eastAsia="宋体" w:cs="宋体"/>
          <w:color w:val="auto"/>
          <w:highlight w:val="none"/>
        </w:rPr>
        <w:t xml:space="preserve">1.11 </w:t>
      </w:r>
      <w:bookmarkEnd w:id="212"/>
      <w:bookmarkEnd w:id="213"/>
      <w:bookmarkEnd w:id="214"/>
      <w:bookmarkEnd w:id="215"/>
      <w:r>
        <w:rPr>
          <w:rFonts w:hint="eastAsia" w:ascii="宋体" w:hAnsi="宋体" w:eastAsia="宋体" w:cs="宋体"/>
          <w:color w:val="auto"/>
          <w:highlight w:val="none"/>
        </w:rPr>
        <w:t>分包</w:t>
      </w:r>
      <w:bookmarkEnd w:id="216"/>
      <w:bookmarkEnd w:id="217"/>
      <w:bookmarkEnd w:id="218"/>
    </w:p>
    <w:p w14:paraId="0F9066C2">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6205C6C3">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3E5AB314">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191E5B69">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（3）其他要求：无。</w:t>
      </w:r>
    </w:p>
    <w:p w14:paraId="784AE756">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4113A4DC">
      <w:pPr>
        <w:pStyle w:val="7"/>
        <w:spacing w:line="420" w:lineRule="exact"/>
        <w:ind w:firstLine="422" w:firstLineChars="200"/>
        <w:rPr>
          <w:rFonts w:hint="eastAsia" w:ascii="宋体" w:hAnsi="宋体" w:eastAsia="宋体" w:cs="宋体"/>
          <w:color w:val="auto"/>
          <w:highlight w:val="none"/>
        </w:rPr>
      </w:pPr>
      <w:bookmarkStart w:id="233" w:name="_Toc95223348"/>
      <w:bookmarkStart w:id="234" w:name="_Toc83301700"/>
      <w:bookmarkStart w:id="235" w:name="_Toc60061445"/>
      <w:r>
        <w:rPr>
          <w:rFonts w:hint="eastAsia" w:ascii="宋体" w:hAnsi="宋体" w:eastAsia="宋体" w:cs="宋体"/>
          <w:color w:val="auto"/>
          <w:highlight w:val="none"/>
        </w:rPr>
        <w:t>1.12 偏离</w:t>
      </w:r>
      <w:bookmarkEnd w:id="233"/>
      <w:bookmarkEnd w:id="234"/>
      <w:bookmarkEnd w:id="235"/>
    </w:p>
    <w:p w14:paraId="40C2D2FE">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6581A2C8">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3DF1F394">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投标文件存在第三章“评标办法”中所列任一无效投标情形的，均属于存在重大偏差。</w:t>
      </w:r>
    </w:p>
    <w:p w14:paraId="7309449B">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2BD34F9E">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在按照第三章“评标办法”的规定对投标价进行算术性错误修正及其他错误修正后，最终投标报价未超过最高投标限价（如有）或未被否决投标的情况下，出现第三章“评标办法”规定的算术性错误和投标报价的其他错误；</w:t>
      </w:r>
    </w:p>
    <w:p w14:paraId="3A0C30DE">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10259838">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077E216A">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项（1）目所述的细微偏差，按照第三章“评标办法”的规定予以修正并要求投标人进行澄清；</w:t>
      </w:r>
    </w:p>
    <w:p w14:paraId="77CE1CB3">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42B9FD88">
      <w:pPr>
        <w:pStyle w:val="7"/>
        <w:spacing w:before="120" w:beforeLines="50" w:after="120" w:afterLines="50" w:line="42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44DAC071">
      <w:pPr>
        <w:pStyle w:val="7"/>
        <w:spacing w:line="420" w:lineRule="exact"/>
        <w:ind w:firstLine="422" w:firstLineChars="200"/>
        <w:rPr>
          <w:rFonts w:hint="eastAsia" w:ascii="宋体" w:hAnsi="宋体" w:eastAsia="宋体" w:cs="宋体"/>
          <w:color w:val="auto"/>
          <w:highlight w:val="none"/>
        </w:rPr>
      </w:pPr>
      <w:bookmarkStart w:id="236" w:name="_Toc246996931"/>
      <w:bookmarkStart w:id="237" w:name="_Toc152042319"/>
      <w:bookmarkStart w:id="238" w:name="_Toc506107282"/>
      <w:bookmarkStart w:id="239" w:name="_Toc35425066"/>
      <w:bookmarkStart w:id="240" w:name="_Toc15058859"/>
      <w:bookmarkStart w:id="241" w:name="_Toc296602433"/>
      <w:bookmarkStart w:id="242" w:name="_Toc179632561"/>
      <w:bookmarkStart w:id="243" w:name="_Toc247085702"/>
      <w:bookmarkStart w:id="244" w:name="_Toc246996188"/>
      <w:bookmarkStart w:id="245" w:name="_Toc35424900"/>
      <w:bookmarkStart w:id="246" w:name="_Toc78803335"/>
      <w:bookmarkStart w:id="247" w:name="_Toc144974511"/>
      <w:bookmarkStart w:id="248" w:name="_Toc324404828"/>
      <w:bookmarkStart w:id="249" w:name="_Toc152045543"/>
      <w:bookmarkStart w:id="250" w:name="_Toc13213"/>
      <w:r>
        <w:rPr>
          <w:rFonts w:hint="eastAsia" w:ascii="宋体" w:hAnsi="宋体" w:eastAsia="宋体" w:cs="宋体"/>
          <w:color w:val="auto"/>
          <w:highlight w:val="none"/>
        </w:rPr>
        <w:t>2.1 招标文件的组成</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02C67772">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 本招标文件包括：</w:t>
      </w:r>
    </w:p>
    <w:p w14:paraId="4B753BD4">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（1）招标公告；</w:t>
      </w:r>
    </w:p>
    <w:p w14:paraId="1AFFDCC8">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（2）投标人须知；</w:t>
      </w:r>
    </w:p>
    <w:p w14:paraId="16159C73">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（3）资格审查办法</w:t>
      </w:r>
    </w:p>
    <w:p w14:paraId="47412945">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（4）评标办法；</w:t>
      </w:r>
    </w:p>
    <w:p w14:paraId="0D11584E">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（5）合同条款及格式；</w:t>
      </w:r>
    </w:p>
    <w:p w14:paraId="14C6B36C">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（6）工程量清单； </w:t>
      </w:r>
    </w:p>
    <w:p w14:paraId="0B53DAFA">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（7）图纸；</w:t>
      </w:r>
    </w:p>
    <w:p w14:paraId="4E83CFA5">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（8）投标文件格式；</w:t>
      </w:r>
    </w:p>
    <w:p w14:paraId="3A29272C">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（9）投标人须知前附表规定的其他材料。</w:t>
      </w:r>
    </w:p>
    <w:p w14:paraId="497291DC">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5919819F">
      <w:pPr>
        <w:pStyle w:val="20"/>
        <w:adjustRightInd w:val="0"/>
        <w:snapToGrid w:val="0"/>
        <w:spacing w:line="420" w:lineRule="exact"/>
        <w:ind w:firstLine="420" w:firstLineChars="200"/>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258CA261">
      <w:pPr>
        <w:pStyle w:val="7"/>
        <w:spacing w:line="420" w:lineRule="exact"/>
        <w:ind w:firstLine="422" w:firstLineChars="200"/>
        <w:rPr>
          <w:rFonts w:hint="eastAsia" w:ascii="宋体" w:hAnsi="宋体" w:eastAsia="宋体" w:cs="宋体"/>
          <w:color w:val="auto"/>
          <w:highlight w:val="none"/>
        </w:rPr>
      </w:pPr>
      <w:bookmarkStart w:id="251" w:name="_Toc152045544"/>
      <w:bookmarkStart w:id="252" w:name="_Toc35424901"/>
      <w:bookmarkStart w:id="253" w:name="_Toc35425067"/>
      <w:bookmarkStart w:id="254" w:name="_Toc324404829"/>
      <w:bookmarkStart w:id="255" w:name="_Toc78803336"/>
      <w:bookmarkStart w:id="256" w:name="_Toc179632562"/>
      <w:bookmarkStart w:id="257" w:name="_Toc246996189"/>
      <w:bookmarkStart w:id="258" w:name="_Toc247085703"/>
      <w:bookmarkStart w:id="259" w:name="_Toc506107283"/>
      <w:bookmarkStart w:id="260" w:name="_Toc296602434"/>
      <w:bookmarkStart w:id="261" w:name="_Toc32239"/>
      <w:bookmarkStart w:id="262" w:name="_Toc246996932"/>
      <w:bookmarkStart w:id="263" w:name="_Toc15058860"/>
      <w:bookmarkStart w:id="264" w:name="_Toc152042320"/>
      <w:bookmarkStart w:id="265" w:name="_Toc144974512"/>
      <w:r>
        <w:rPr>
          <w:rFonts w:hint="eastAsia" w:ascii="宋体" w:hAnsi="宋体" w:eastAsia="宋体" w:cs="宋体"/>
          <w:color w:val="auto"/>
          <w:highlight w:val="none"/>
        </w:rPr>
        <w:t>2.2 招标文件的</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Pr>
          <w:rFonts w:hint="eastAsia" w:ascii="宋体" w:hAnsi="宋体" w:eastAsia="宋体" w:cs="宋体"/>
          <w:color w:val="auto"/>
          <w:highlight w:val="none"/>
        </w:rPr>
        <w:t>异议</w:t>
      </w:r>
    </w:p>
    <w:p w14:paraId="707A20E8">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投标人或其他利害关系人投标人应仔细阅读和检查招标文件的全部内容，对招标文件有异议的，应在投标人须知前附表规定的时间前以网上留言或书面形式提出。招标人将在“滁州市兴滁矿业投资集团有限公司”（http://www.xckytz.com/）发布，但不指明澄清问题的来源。 </w:t>
      </w:r>
    </w:p>
    <w:p w14:paraId="44105623">
      <w:pPr>
        <w:pStyle w:val="7"/>
        <w:spacing w:line="420" w:lineRule="exact"/>
        <w:ind w:firstLine="422" w:firstLineChars="200"/>
        <w:rPr>
          <w:rFonts w:hint="eastAsia" w:ascii="宋体" w:hAnsi="宋体" w:eastAsia="宋体" w:cs="宋体"/>
          <w:color w:val="auto"/>
          <w:highlight w:val="none"/>
        </w:rPr>
      </w:pPr>
      <w:bookmarkStart w:id="266" w:name="_Toc152042321"/>
      <w:bookmarkStart w:id="267" w:name="_Toc247085704"/>
      <w:bookmarkStart w:id="268" w:name="_Toc78803337"/>
      <w:bookmarkStart w:id="269" w:name="_Toc246996190"/>
      <w:bookmarkStart w:id="270" w:name="_Toc246996933"/>
      <w:bookmarkStart w:id="271" w:name="_Toc35425068"/>
      <w:bookmarkStart w:id="272" w:name="_Toc179632563"/>
      <w:bookmarkStart w:id="273" w:name="_Toc324404830"/>
      <w:bookmarkStart w:id="274" w:name="_Toc144974513"/>
      <w:bookmarkStart w:id="275" w:name="_Toc15058861"/>
      <w:bookmarkStart w:id="276" w:name="_Toc296602435"/>
      <w:bookmarkStart w:id="277" w:name="_Toc152045545"/>
      <w:bookmarkStart w:id="278" w:name="_Toc35424902"/>
      <w:bookmarkStart w:id="279" w:name="_Toc506107284"/>
      <w:bookmarkStart w:id="280" w:name="_Toc24633"/>
      <w:r>
        <w:rPr>
          <w:rFonts w:hint="eastAsia" w:ascii="宋体" w:hAnsi="宋体" w:eastAsia="宋体" w:cs="宋体"/>
          <w:color w:val="auto"/>
          <w:highlight w:val="none"/>
        </w:rPr>
        <w:t>2.3 招标文件的</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Pr>
          <w:rFonts w:hint="eastAsia" w:ascii="宋体" w:hAnsi="宋体" w:eastAsia="宋体" w:cs="宋体"/>
          <w:color w:val="auto"/>
          <w:highlight w:val="none"/>
        </w:rPr>
        <w:t>澄清</w:t>
      </w:r>
    </w:p>
    <w:p w14:paraId="46EBB448">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招标人可以澄清招标文件，并以投标人须知前附表规定澄清的方式在“滁州市兴滁矿业投资集团有限公司”（http://www.xckytz.com/）</w:t>
      </w:r>
      <w:r>
        <w:rPr>
          <w:rFonts w:hint="eastAsia"/>
          <w:color w:val="auto"/>
          <w:highlight w:val="none"/>
        </w:rPr>
        <w:t xml:space="preserve"> </w:t>
      </w:r>
      <w:r>
        <w:rPr>
          <w:rFonts w:hint="eastAsia" w:ascii="宋体" w:hAnsi="宋体" w:cs="宋体"/>
          <w:color w:val="auto"/>
          <w:szCs w:val="21"/>
          <w:highlight w:val="none"/>
        </w:rPr>
        <w:t>发布。但如果修改内容影响投标文件编制的，将相应延长投标截止时间。</w:t>
      </w:r>
    </w:p>
    <w:p w14:paraId="51A6295A">
      <w:pPr>
        <w:pStyle w:val="7"/>
        <w:spacing w:before="120" w:beforeLines="50" w:after="120" w:afterLines="50" w:line="420" w:lineRule="exact"/>
        <w:ind w:firstLine="482" w:firstLineChars="200"/>
        <w:rPr>
          <w:rFonts w:hint="eastAsia" w:ascii="宋体" w:hAnsi="宋体" w:eastAsia="宋体" w:cs="宋体"/>
          <w:color w:val="auto"/>
          <w:sz w:val="24"/>
          <w:szCs w:val="24"/>
          <w:highlight w:val="none"/>
        </w:rPr>
      </w:pPr>
      <w:bookmarkStart w:id="281" w:name="_Toc179632564"/>
      <w:bookmarkStart w:id="282" w:name="_Toc246996191"/>
      <w:bookmarkStart w:id="283" w:name="_Toc78803339"/>
      <w:bookmarkStart w:id="284" w:name="_Toc15058863"/>
      <w:bookmarkStart w:id="285" w:name="_Toc506107285"/>
      <w:bookmarkStart w:id="286" w:name="_Toc152042322"/>
      <w:bookmarkStart w:id="287" w:name="_Toc35425070"/>
      <w:bookmarkStart w:id="288" w:name="_Toc247085705"/>
      <w:bookmarkStart w:id="289" w:name="_Toc152045546"/>
      <w:bookmarkStart w:id="290" w:name="_Toc324404832"/>
      <w:bookmarkStart w:id="291" w:name="_Toc35424904"/>
      <w:bookmarkStart w:id="292" w:name="_Toc246996934"/>
      <w:bookmarkStart w:id="293" w:name="_Toc144974514"/>
      <w:bookmarkStart w:id="294" w:name="_Toc6464"/>
      <w:r>
        <w:rPr>
          <w:rFonts w:hint="eastAsia" w:ascii="宋体" w:hAnsi="宋体" w:eastAsia="宋体" w:cs="宋体"/>
          <w:color w:val="auto"/>
          <w:sz w:val="24"/>
          <w:szCs w:val="24"/>
          <w:highlight w:val="none"/>
        </w:rPr>
        <w:t>3. 投标文件</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120D3AB8">
      <w:pPr>
        <w:pStyle w:val="7"/>
        <w:spacing w:line="420" w:lineRule="exact"/>
        <w:ind w:firstLine="422" w:firstLineChars="200"/>
        <w:rPr>
          <w:rFonts w:hint="eastAsia" w:ascii="宋体" w:hAnsi="宋体" w:eastAsia="宋体" w:cs="宋体"/>
          <w:color w:val="auto"/>
          <w:highlight w:val="none"/>
        </w:rPr>
      </w:pPr>
      <w:bookmarkStart w:id="295" w:name="_Toc15058864"/>
      <w:bookmarkStart w:id="296" w:name="_Toc152045547"/>
      <w:bookmarkStart w:id="297" w:name="_Toc246996192"/>
      <w:bookmarkStart w:id="298" w:name="_Toc157"/>
      <w:bookmarkStart w:id="299" w:name="_Toc296602437"/>
      <w:bookmarkStart w:id="300" w:name="_Toc35424905"/>
      <w:bookmarkStart w:id="301" w:name="_Toc152042323"/>
      <w:bookmarkStart w:id="302" w:name="_Toc506107286"/>
      <w:bookmarkStart w:id="303" w:name="_Toc144974515"/>
      <w:bookmarkStart w:id="304" w:name="_Toc35425071"/>
      <w:bookmarkStart w:id="305" w:name="_Toc246996935"/>
      <w:bookmarkStart w:id="306" w:name="_Toc247085706"/>
      <w:bookmarkStart w:id="307" w:name="_Toc78803340"/>
      <w:bookmarkStart w:id="308" w:name="_Toc324404833"/>
      <w:bookmarkStart w:id="309" w:name="_Toc179632565"/>
      <w:r>
        <w:rPr>
          <w:rFonts w:hint="eastAsia" w:ascii="宋体" w:hAnsi="宋体" w:eastAsia="宋体" w:cs="宋体"/>
          <w:color w:val="auto"/>
          <w:highlight w:val="none"/>
        </w:rPr>
        <w:t>3.1 投标文件的组成</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75DBB17F">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投标文件的具体组成部分及材料要求详见本招标文件第七章“投标文件格式”。</w:t>
      </w:r>
    </w:p>
    <w:p w14:paraId="2BC66342">
      <w:pPr>
        <w:pStyle w:val="7"/>
        <w:spacing w:line="420" w:lineRule="exact"/>
        <w:ind w:firstLine="422" w:firstLineChars="200"/>
        <w:rPr>
          <w:rFonts w:hint="eastAsia" w:ascii="宋体" w:hAnsi="宋体" w:eastAsia="宋体" w:cs="宋体"/>
          <w:color w:val="auto"/>
          <w:highlight w:val="none"/>
        </w:rPr>
      </w:pPr>
      <w:bookmarkStart w:id="310" w:name="_Toc35424906"/>
      <w:bookmarkStart w:id="311" w:name="_Toc6829"/>
      <w:bookmarkStart w:id="312" w:name="_Toc78803341"/>
      <w:bookmarkStart w:id="313" w:name="_Toc247085707"/>
      <w:bookmarkStart w:id="314" w:name="_Toc324404834"/>
      <w:bookmarkStart w:id="315" w:name="_Toc179632566"/>
      <w:bookmarkStart w:id="316" w:name="_Toc152045548"/>
      <w:bookmarkStart w:id="317" w:name="_Toc35425072"/>
      <w:bookmarkStart w:id="318" w:name="_Toc506107287"/>
      <w:bookmarkStart w:id="319" w:name="_Toc246996193"/>
      <w:bookmarkStart w:id="320" w:name="_Toc15058865"/>
      <w:bookmarkStart w:id="321" w:name="_Toc246996936"/>
      <w:bookmarkStart w:id="322" w:name="_Toc144974516"/>
      <w:bookmarkStart w:id="323" w:name="_Toc296602438"/>
      <w:bookmarkStart w:id="324" w:name="_Toc152042324"/>
      <w:r>
        <w:rPr>
          <w:rFonts w:hint="eastAsia" w:ascii="宋体" w:hAnsi="宋体" w:eastAsia="宋体" w:cs="宋体"/>
          <w:color w:val="auto"/>
          <w:highlight w:val="none"/>
        </w:rPr>
        <w:t>3.2 投标报价</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5054AA95">
      <w:pPr>
        <w:spacing w:line="420" w:lineRule="exact"/>
        <w:ind w:firstLine="420" w:firstLineChars="200"/>
        <w:jc w:val="left"/>
        <w:rPr>
          <w:rFonts w:hint="eastAsia" w:ascii="宋体" w:hAnsi="宋体" w:cs="宋体"/>
          <w:color w:val="auto"/>
          <w:szCs w:val="21"/>
          <w:highlight w:val="none"/>
        </w:rPr>
      </w:pPr>
      <w:bookmarkStart w:id="325" w:name="_Toc179632567"/>
      <w:bookmarkStart w:id="326" w:name="_Toc35425073"/>
      <w:bookmarkStart w:id="327" w:name="_Toc506107288"/>
      <w:bookmarkStart w:id="328" w:name="_Toc152042325"/>
      <w:bookmarkStart w:id="329" w:name="_Toc246996937"/>
      <w:bookmarkStart w:id="330" w:name="_Toc35424907"/>
      <w:bookmarkStart w:id="331" w:name="_Toc246996194"/>
      <w:bookmarkStart w:id="332" w:name="_Toc15058866"/>
      <w:bookmarkStart w:id="333" w:name="_Toc296602439"/>
      <w:bookmarkStart w:id="334" w:name="_Toc31735"/>
      <w:bookmarkStart w:id="335" w:name="_Toc247085708"/>
      <w:bookmarkStart w:id="336" w:name="_Toc324404835"/>
      <w:bookmarkStart w:id="337" w:name="_Toc144974517"/>
      <w:bookmarkStart w:id="338" w:name="_Toc78803342"/>
      <w:bookmarkStart w:id="339" w:name="_Toc152045549"/>
      <w:r>
        <w:rPr>
          <w:rFonts w:hint="eastAsia" w:ascii="宋体" w:hAnsi="宋体" w:cs="宋体"/>
          <w:color w:val="auto"/>
          <w:szCs w:val="21"/>
          <w:highlight w:val="none"/>
        </w:rPr>
        <w:t>3.2.1投标报价应包括国家规定的增值税税金，除投标人须知前附表另有规定外，增值税税金按一般计税方法计算。投标人应按第六章“投标文件格式”的要求在投标函中进行报价并填写工程量清单相应表格。</w:t>
      </w:r>
    </w:p>
    <w:p w14:paraId="6726A87B">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3.2.2投标人应充分了解本项目的总体情况以及影响投标报价的其他要素。</w:t>
      </w:r>
    </w:p>
    <w:p w14:paraId="07515FD1">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1FEFB83D">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3.2.4招标人设有最高投标限价的，投标人的投标报价不得超过最高投标限价，最高投标限价在投标人须知前附表中载明。</w:t>
      </w:r>
    </w:p>
    <w:p w14:paraId="4B3E35A7">
      <w:pPr>
        <w:pStyle w:val="7"/>
        <w:spacing w:line="420" w:lineRule="exact"/>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3.3 投标有效期</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639A0067">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3411232B">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4E2FB55F">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604C50DD">
      <w:pPr>
        <w:pStyle w:val="7"/>
        <w:spacing w:line="420" w:lineRule="exact"/>
        <w:ind w:firstLine="422" w:firstLineChars="200"/>
        <w:rPr>
          <w:rFonts w:hint="eastAsia" w:ascii="宋体" w:hAnsi="宋体" w:eastAsia="宋体" w:cs="宋体"/>
          <w:color w:val="auto"/>
          <w:highlight w:val="none"/>
        </w:rPr>
      </w:pPr>
      <w:bookmarkStart w:id="340" w:name="_Toc15058867"/>
      <w:bookmarkStart w:id="341" w:name="_Toc506107289"/>
      <w:bookmarkStart w:id="342" w:name="_Toc152042326"/>
      <w:bookmarkStart w:id="343" w:name="_Toc152045550"/>
      <w:bookmarkStart w:id="344" w:name="_Toc247085709"/>
      <w:bookmarkStart w:id="345" w:name="_Toc246996938"/>
      <w:bookmarkStart w:id="346" w:name="_Toc78803343"/>
      <w:bookmarkStart w:id="347" w:name="_Toc35424908"/>
      <w:bookmarkStart w:id="348" w:name="_Toc179632568"/>
      <w:bookmarkStart w:id="349" w:name="_Toc296602440"/>
      <w:bookmarkStart w:id="350" w:name="_Toc144974518"/>
      <w:bookmarkStart w:id="351" w:name="_Toc324404836"/>
      <w:bookmarkStart w:id="352" w:name="_Toc10714"/>
      <w:bookmarkStart w:id="353" w:name="_Toc35425074"/>
      <w:bookmarkStart w:id="354" w:name="_Toc246996195"/>
      <w:r>
        <w:rPr>
          <w:rFonts w:hint="eastAsia" w:ascii="宋体" w:hAnsi="宋体" w:eastAsia="宋体" w:cs="宋体"/>
          <w:color w:val="auto"/>
          <w:highlight w:val="none"/>
        </w:rPr>
        <w:t>3.4 投标保证金</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1D3F28C1">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086F5032">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74AE104A">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3.4.2 投标人不按本章第3.4.1项要求提交投标保证金的，评标委员会将否决其投标。</w:t>
      </w:r>
    </w:p>
    <w:p w14:paraId="38B1D25F">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3.4.3有下列情形之一的，投标保证金将不予退还： </w:t>
      </w:r>
    </w:p>
    <w:p w14:paraId="63437DAC">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3919FC11">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5E88E5AF">
      <w:pPr>
        <w:pStyle w:val="7"/>
        <w:spacing w:line="420" w:lineRule="exact"/>
        <w:ind w:firstLine="422" w:firstLineChars="200"/>
        <w:rPr>
          <w:rFonts w:hint="eastAsia" w:ascii="宋体" w:hAnsi="宋体" w:eastAsia="宋体" w:cs="宋体"/>
          <w:color w:val="auto"/>
          <w:highlight w:val="none"/>
        </w:rPr>
      </w:pPr>
      <w:bookmarkStart w:id="355" w:name="_Toc506107290"/>
      <w:bookmarkStart w:id="356" w:name="_Toc35425075"/>
      <w:bookmarkStart w:id="357" w:name="_Toc15058868"/>
      <w:bookmarkStart w:id="358" w:name="_Toc35424909"/>
      <w:bookmarkStart w:id="359" w:name="_Toc19037"/>
      <w:bookmarkStart w:id="360" w:name="_Toc78803344"/>
      <w:bookmarkStart w:id="361" w:name="_Toc296602442"/>
      <w:bookmarkStart w:id="362" w:name="_Toc324404837"/>
      <w:bookmarkStart w:id="363" w:name="_Toc246996940"/>
      <w:bookmarkStart w:id="364" w:name="_Toc179632571"/>
      <w:bookmarkStart w:id="365" w:name="_Toc152045553"/>
      <w:bookmarkStart w:id="366" w:name="_Toc246996197"/>
      <w:bookmarkStart w:id="367" w:name="_Toc247085711"/>
      <w:bookmarkStart w:id="368" w:name="_Toc152042329"/>
      <w:bookmarkStart w:id="369" w:name="_Toc144974521"/>
      <w:r>
        <w:rPr>
          <w:rFonts w:hint="eastAsia" w:ascii="宋体" w:hAnsi="宋体" w:eastAsia="宋体" w:cs="宋体"/>
          <w:color w:val="auto"/>
          <w:highlight w:val="none"/>
        </w:rPr>
        <w:t>3.5投标文件的编制</w:t>
      </w:r>
      <w:bookmarkEnd w:id="355"/>
      <w:bookmarkEnd w:id="356"/>
      <w:bookmarkEnd w:id="357"/>
      <w:bookmarkEnd w:id="358"/>
      <w:bookmarkEnd w:id="359"/>
      <w:bookmarkEnd w:id="360"/>
      <w:bookmarkEnd w:id="361"/>
      <w:bookmarkEnd w:id="362"/>
    </w:p>
    <w:p w14:paraId="03341F01">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3.5.1投标文件应按第六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63"/>
    <w:bookmarkEnd w:id="364"/>
    <w:bookmarkEnd w:id="365"/>
    <w:bookmarkEnd w:id="366"/>
    <w:bookmarkEnd w:id="367"/>
    <w:bookmarkEnd w:id="368"/>
    <w:bookmarkEnd w:id="369"/>
    <w:p w14:paraId="41EA076D">
      <w:pPr>
        <w:spacing w:line="420" w:lineRule="exact"/>
        <w:ind w:firstLine="420" w:firstLineChars="200"/>
        <w:jc w:val="left"/>
        <w:rPr>
          <w:rFonts w:hint="eastAsia" w:ascii="宋体" w:hAnsi="宋体" w:cs="宋体"/>
          <w:color w:val="auto"/>
          <w:szCs w:val="21"/>
          <w:highlight w:val="none"/>
        </w:rPr>
      </w:pPr>
      <w:bookmarkStart w:id="370" w:name="_Toc246996942"/>
      <w:bookmarkStart w:id="371" w:name="_Toc246996199"/>
      <w:bookmarkStart w:id="372" w:name="_Toc324404838"/>
      <w:bookmarkStart w:id="373" w:name="_Toc247085713"/>
      <w:bookmarkStart w:id="374" w:name="_Toc152042331"/>
      <w:bookmarkStart w:id="375" w:name="_Toc144974523"/>
      <w:bookmarkStart w:id="376" w:name="_Toc179632573"/>
      <w:bookmarkStart w:id="377" w:name="_Toc152045555"/>
      <w:r>
        <w:rPr>
          <w:rFonts w:hint="eastAsia" w:ascii="宋体" w:hAnsi="宋体" w:cs="宋体"/>
          <w:color w:val="auto"/>
          <w:szCs w:val="21"/>
          <w:highlight w:val="none"/>
        </w:rPr>
        <w:t>3.5.2本次投标不需要提供纸质投标文件，投标人应按照招标文件的要求，制作、签章、发送加密的电子投标文件。</w:t>
      </w:r>
    </w:p>
    <w:p w14:paraId="0DE828CC">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3.5.3投标文件应当对招标文件有关工期、投标有效期、质量要求、技术标准和要求、招标范围等实质性内容作出响应。</w:t>
      </w:r>
    </w:p>
    <w:p w14:paraId="4F061BA5">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3.5.4招标人有权核查投标人在投标文件中提供的资料，若在评标期间发现投标人提供了虚假资料，其投标将被否决；若在签订合同前发现作为中标候选人的投标人提供了虚假资料，招标人有权取消其中标资格；如果签订合同后发现中标人提供了虚假材料，招标人有权解除合同。同时招标人将投标人上述弄虚作假行为上报相关部门处理。</w:t>
      </w:r>
    </w:p>
    <w:p w14:paraId="30A5C10E">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3.5.5投标文件的制作应满足以下规定：</w:t>
      </w:r>
    </w:p>
    <w:p w14:paraId="6936005C">
      <w:pPr>
        <w:numPr>
          <w:ilvl w:val="0"/>
          <w:numId w:val="2"/>
        </w:num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招标文件中“签章”是指签字或盖章。在第六章“投标文件格式”中要求签章处，投标人应加盖投标人单位电子印章和法定代表人的个人电子印章/电子签名章或直接上传加盖投标人单位印章和法定代表人的印章（或签字）的原件彩色扫描件。</w:t>
      </w:r>
    </w:p>
    <w:p w14:paraId="19FCA2C8">
      <w:pPr>
        <w:numPr>
          <w:ilvl w:val="0"/>
          <w:numId w:val="2"/>
        </w:num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投标人应对投标文件进行加密，形成加密的投标文件。</w:t>
      </w:r>
    </w:p>
    <w:p w14:paraId="7A0FE594">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3.5.6因投标人自身原因而导致投标文件无法打开、读取，该投标视为无效投标，投标人自行承担由此导致的全部责任。</w:t>
      </w:r>
    </w:p>
    <w:p w14:paraId="6FABBEAD">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3.5.7投标人中标后须递交与网上电子投标文件完全一致的纸质版投标文件，在领取中标通知书时，一并递交给招标代理机构。</w:t>
      </w:r>
    </w:p>
    <w:p w14:paraId="09F9AA77">
      <w:pPr>
        <w:pStyle w:val="7"/>
        <w:spacing w:line="420" w:lineRule="exact"/>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14:paraId="4166E79E">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3.6.1除投标人须知前附表规定允许外，投标人不得递交备选投标方案，否则其投标将被否决。</w:t>
      </w:r>
    </w:p>
    <w:p w14:paraId="7A7E1C16">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367FD379">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3.6.3投标人提供两个或两个以上投标报价，或在投标文件中提供一个报价，但同时提供两个或两个以上施工组织设计的，视为提供备选方案。</w:t>
      </w:r>
    </w:p>
    <w:p w14:paraId="7FC2ADAF">
      <w:pPr>
        <w:pStyle w:val="7"/>
        <w:spacing w:before="120" w:beforeLines="50" w:after="120" w:afterLines="50" w:line="420" w:lineRule="exact"/>
        <w:ind w:firstLine="482" w:firstLineChars="200"/>
        <w:rPr>
          <w:rFonts w:hint="eastAsia" w:ascii="宋体" w:hAnsi="宋体" w:eastAsia="宋体" w:cs="宋体"/>
          <w:color w:val="auto"/>
          <w:sz w:val="24"/>
          <w:szCs w:val="24"/>
          <w:highlight w:val="none"/>
        </w:rPr>
      </w:pPr>
      <w:bookmarkStart w:id="378" w:name="_Toc19455"/>
      <w:bookmarkStart w:id="379" w:name="_Toc78803345"/>
      <w:bookmarkStart w:id="380" w:name="_Toc35424910"/>
      <w:bookmarkStart w:id="381" w:name="_Toc506107291"/>
      <w:bookmarkStart w:id="382" w:name="_Toc15058869"/>
      <w:bookmarkStart w:id="383" w:name="_Toc35425076"/>
      <w:r>
        <w:rPr>
          <w:rFonts w:hint="eastAsia" w:ascii="宋体" w:hAnsi="宋体" w:eastAsia="宋体" w:cs="宋体"/>
          <w:color w:val="auto"/>
          <w:sz w:val="24"/>
          <w:szCs w:val="24"/>
          <w:highlight w:val="none"/>
        </w:rPr>
        <w:t>4.投标</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57BCA967">
      <w:pPr>
        <w:pStyle w:val="7"/>
        <w:spacing w:line="420" w:lineRule="exact"/>
        <w:ind w:firstLine="422" w:firstLineChars="200"/>
        <w:rPr>
          <w:rFonts w:hint="eastAsia" w:ascii="宋体" w:hAnsi="宋体" w:eastAsia="宋体" w:cs="宋体"/>
          <w:color w:val="auto"/>
          <w:highlight w:val="none"/>
        </w:rPr>
      </w:pPr>
      <w:bookmarkStart w:id="384" w:name="_Toc14473"/>
      <w:bookmarkStart w:id="385" w:name="_Toc15058870"/>
      <w:bookmarkStart w:id="386" w:name="_Toc78803346"/>
      <w:bookmarkStart w:id="387" w:name="_Toc35425077"/>
      <w:bookmarkStart w:id="388" w:name="_Toc35424911"/>
      <w:r>
        <w:rPr>
          <w:rFonts w:hint="eastAsia" w:ascii="宋体" w:hAnsi="宋体" w:eastAsia="宋体" w:cs="宋体"/>
          <w:color w:val="auto"/>
          <w:highlight w:val="none"/>
        </w:rPr>
        <w:t>4.1投标文件</w:t>
      </w:r>
      <w:bookmarkEnd w:id="384"/>
      <w:bookmarkEnd w:id="385"/>
      <w:bookmarkEnd w:id="386"/>
      <w:bookmarkEnd w:id="387"/>
      <w:bookmarkEnd w:id="388"/>
      <w:r>
        <w:rPr>
          <w:rFonts w:hint="eastAsia" w:ascii="宋体" w:hAnsi="宋体" w:eastAsia="宋体" w:cs="宋体"/>
          <w:color w:val="auto"/>
          <w:highlight w:val="none"/>
        </w:rPr>
        <w:t>的提交</w:t>
      </w:r>
    </w:p>
    <w:p w14:paraId="4DDF146C">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4.1.1具体要求详见投标须知前附表。</w:t>
      </w:r>
    </w:p>
    <w:p w14:paraId="0233F765">
      <w:pPr>
        <w:pStyle w:val="7"/>
        <w:spacing w:line="420" w:lineRule="exact"/>
        <w:ind w:firstLine="422" w:firstLineChars="200"/>
        <w:rPr>
          <w:rFonts w:hint="eastAsia" w:ascii="宋体" w:hAnsi="宋体" w:eastAsia="宋体" w:cs="宋体"/>
          <w:color w:val="auto"/>
          <w:highlight w:val="none"/>
        </w:rPr>
      </w:pPr>
      <w:bookmarkStart w:id="389" w:name="_Toc506107294"/>
      <w:bookmarkStart w:id="390" w:name="_Toc324404841"/>
      <w:bookmarkStart w:id="391" w:name="_Toc15058873"/>
      <w:bookmarkStart w:id="392" w:name="_Toc296602446"/>
      <w:bookmarkStart w:id="393" w:name="_Toc246996945"/>
      <w:bookmarkStart w:id="394" w:name="_Toc246996202"/>
      <w:bookmarkStart w:id="395" w:name="_Toc35425080"/>
      <w:bookmarkStart w:id="396" w:name="_Toc152045558"/>
      <w:bookmarkStart w:id="397" w:name="_Toc144974526"/>
      <w:bookmarkStart w:id="398" w:name="_Toc247085716"/>
      <w:bookmarkStart w:id="399" w:name="_Toc179632576"/>
      <w:bookmarkStart w:id="400" w:name="_Toc19572"/>
      <w:bookmarkStart w:id="401" w:name="_Toc35424914"/>
      <w:bookmarkStart w:id="402" w:name="_Toc78803347"/>
      <w:bookmarkStart w:id="403" w:name="_Toc152042334"/>
      <w:r>
        <w:rPr>
          <w:rFonts w:hint="eastAsia" w:ascii="宋体" w:hAnsi="宋体" w:eastAsia="宋体" w:cs="宋体"/>
          <w:color w:val="auto"/>
          <w:highlight w:val="none"/>
        </w:rPr>
        <w:t>4.2 投标文件的修改与撤回</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1CF528BC">
      <w:pPr>
        <w:spacing w:line="420" w:lineRule="exact"/>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rPr>
        <w:t>4.2.1 在规定的投标截止时间前，投标人可以自行从邮箱撤回已递交的投标文件，并可修改后重新上传，开标时以投标截止时间前投标人最终上传的投标文件为准。</w:t>
      </w:r>
    </w:p>
    <w:p w14:paraId="268F1C1C">
      <w:pPr>
        <w:pStyle w:val="7"/>
        <w:spacing w:before="120" w:beforeLines="50" w:after="120" w:afterLines="50" w:line="420" w:lineRule="exact"/>
        <w:ind w:firstLine="482" w:firstLineChars="200"/>
        <w:rPr>
          <w:rFonts w:hint="eastAsia" w:ascii="宋体" w:hAnsi="宋体" w:eastAsia="宋体" w:cs="宋体"/>
          <w:color w:val="auto"/>
          <w:sz w:val="24"/>
          <w:szCs w:val="24"/>
          <w:highlight w:val="none"/>
        </w:rPr>
      </w:pPr>
      <w:bookmarkStart w:id="404" w:name="_Toc78803348"/>
      <w:bookmarkStart w:id="405" w:name="_Toc246996203"/>
      <w:bookmarkStart w:id="406" w:name="_Toc15058874"/>
      <w:bookmarkStart w:id="407" w:name="_Toc144974527"/>
      <w:bookmarkStart w:id="408" w:name="_Toc152042335"/>
      <w:bookmarkStart w:id="409" w:name="_Toc324404842"/>
      <w:bookmarkStart w:id="410" w:name="_Toc29639"/>
      <w:bookmarkStart w:id="411" w:name="_Toc506107295"/>
      <w:bookmarkStart w:id="412" w:name="_Toc35424915"/>
      <w:bookmarkStart w:id="413" w:name="_Toc247085717"/>
      <w:bookmarkStart w:id="414" w:name="_Toc246996946"/>
      <w:bookmarkStart w:id="415" w:name="_Toc152045559"/>
      <w:bookmarkStart w:id="416" w:name="_Toc179632577"/>
      <w:bookmarkStart w:id="417" w:name="_Toc35425081"/>
      <w:r>
        <w:rPr>
          <w:rFonts w:hint="eastAsia" w:ascii="宋体" w:hAnsi="宋体" w:eastAsia="宋体" w:cs="宋体"/>
          <w:color w:val="auto"/>
          <w:sz w:val="24"/>
          <w:szCs w:val="24"/>
          <w:highlight w:val="none"/>
        </w:rPr>
        <w:t>5. 开标</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048EA587">
      <w:pPr>
        <w:pStyle w:val="7"/>
        <w:spacing w:line="420" w:lineRule="exact"/>
        <w:ind w:firstLine="422" w:firstLineChars="200"/>
        <w:rPr>
          <w:rFonts w:hint="eastAsia" w:ascii="宋体" w:hAnsi="宋体" w:eastAsia="宋体" w:cs="宋体"/>
          <w:color w:val="auto"/>
          <w:highlight w:val="none"/>
        </w:rPr>
      </w:pPr>
      <w:bookmarkStart w:id="418" w:name="_Toc296602448"/>
      <w:bookmarkStart w:id="419" w:name="_Toc78803349"/>
      <w:bookmarkStart w:id="420" w:name="_Toc506107296"/>
      <w:bookmarkStart w:id="421" w:name="_Toc35425082"/>
      <w:bookmarkStart w:id="422" w:name="_Toc247085718"/>
      <w:bookmarkStart w:id="423" w:name="_Toc13691"/>
      <w:bookmarkStart w:id="424" w:name="_Toc35424916"/>
      <w:bookmarkStart w:id="425" w:name="_Toc179632578"/>
      <w:bookmarkStart w:id="426" w:name="_Toc152045560"/>
      <w:bookmarkStart w:id="427" w:name="_Toc246996947"/>
      <w:bookmarkStart w:id="428" w:name="_Toc15058875"/>
      <w:bookmarkStart w:id="429" w:name="_Toc152042336"/>
      <w:bookmarkStart w:id="430" w:name="_Toc246996204"/>
      <w:bookmarkStart w:id="431" w:name="_Toc324404843"/>
      <w:bookmarkStart w:id="432" w:name="_Toc144974528"/>
      <w:r>
        <w:rPr>
          <w:rFonts w:hint="eastAsia" w:ascii="宋体" w:hAnsi="宋体" w:eastAsia="宋体" w:cs="宋体"/>
          <w:color w:val="auto"/>
          <w:highlight w:val="none"/>
        </w:rPr>
        <w:t>5.1 开标时间和地点</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08CF7748">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招标人在投标人须知前附表规定的投标截止时间（开标时间）和地点公开开标。</w:t>
      </w:r>
    </w:p>
    <w:p w14:paraId="18BDD623">
      <w:pPr>
        <w:pStyle w:val="7"/>
        <w:spacing w:line="420" w:lineRule="exact"/>
        <w:ind w:firstLine="422" w:firstLineChars="200"/>
        <w:rPr>
          <w:rFonts w:hint="eastAsia" w:ascii="宋体" w:hAnsi="宋体" w:eastAsia="宋体" w:cs="宋体"/>
          <w:color w:val="auto"/>
          <w:highlight w:val="none"/>
        </w:rPr>
      </w:pPr>
      <w:bookmarkStart w:id="433" w:name="_Toc152045561"/>
      <w:bookmarkStart w:id="434" w:name="_Toc246996205"/>
      <w:bookmarkStart w:id="435" w:name="_Toc35425083"/>
      <w:bookmarkStart w:id="436" w:name="_Toc78803350"/>
      <w:bookmarkStart w:id="437" w:name="_Toc15058876"/>
      <w:bookmarkStart w:id="438" w:name="_Toc179632579"/>
      <w:bookmarkStart w:id="439" w:name="_Toc152042337"/>
      <w:bookmarkStart w:id="440" w:name="_Toc35424917"/>
      <w:bookmarkStart w:id="441" w:name="_Toc32451"/>
      <w:bookmarkStart w:id="442" w:name="_Toc247085719"/>
      <w:bookmarkStart w:id="443" w:name="_Toc506107297"/>
      <w:bookmarkStart w:id="444" w:name="_Toc246996948"/>
      <w:bookmarkStart w:id="445" w:name="_Toc324404844"/>
      <w:bookmarkStart w:id="446" w:name="_Toc296602449"/>
      <w:bookmarkStart w:id="447" w:name="_Toc144974529"/>
      <w:r>
        <w:rPr>
          <w:rFonts w:hint="eastAsia" w:ascii="宋体" w:hAnsi="宋体" w:eastAsia="宋体" w:cs="宋体"/>
          <w:color w:val="auto"/>
          <w:highlight w:val="none"/>
        </w:rPr>
        <w:t>5.2 开标程序</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63C1A286">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主持人按下列程序进行开标：</w:t>
      </w:r>
      <w:bookmarkStart w:id="448" w:name="_Toc324404845"/>
      <w:bookmarkStart w:id="449" w:name="_Toc296602450"/>
    </w:p>
    <w:p w14:paraId="6536204A">
      <w:pPr>
        <w:spacing w:line="420" w:lineRule="exact"/>
        <w:ind w:firstLine="420" w:firstLineChars="200"/>
        <w:jc w:val="left"/>
        <w:rPr>
          <w:rFonts w:hint="eastAsia" w:ascii="宋体" w:hAnsi="宋体" w:cs="宋体"/>
          <w:color w:val="auto"/>
          <w:szCs w:val="21"/>
          <w:highlight w:val="none"/>
        </w:rPr>
      </w:pPr>
      <w:bookmarkStart w:id="450" w:name="_Toc15058877"/>
      <w:bookmarkStart w:id="451" w:name="_Toc506107298"/>
      <w:r>
        <w:rPr>
          <w:rFonts w:hint="eastAsia" w:ascii="宋体" w:hAnsi="宋体" w:cs="宋体"/>
          <w:color w:val="auto"/>
          <w:szCs w:val="21"/>
          <w:highlight w:val="none"/>
        </w:rPr>
        <w:t>（1）宣布开标纪律；</w:t>
      </w:r>
      <w:bookmarkEnd w:id="450"/>
    </w:p>
    <w:p w14:paraId="4B72F3E6">
      <w:pPr>
        <w:spacing w:line="420" w:lineRule="exact"/>
        <w:ind w:firstLine="420" w:firstLineChars="200"/>
        <w:jc w:val="left"/>
        <w:rPr>
          <w:rFonts w:hint="eastAsia" w:ascii="宋体" w:hAnsi="宋体" w:cs="宋体"/>
          <w:color w:val="auto"/>
          <w:szCs w:val="21"/>
          <w:highlight w:val="none"/>
        </w:rPr>
      </w:pPr>
      <w:bookmarkStart w:id="452" w:name="_Toc15058878"/>
      <w:r>
        <w:rPr>
          <w:rFonts w:hint="eastAsia" w:ascii="宋体" w:hAnsi="宋体" w:cs="宋体"/>
          <w:color w:val="auto"/>
          <w:szCs w:val="21"/>
          <w:highlight w:val="none"/>
        </w:rPr>
        <w:t>（2）宣布招标人、代理机构主持人等有关人员姓名；</w:t>
      </w:r>
      <w:bookmarkEnd w:id="452"/>
    </w:p>
    <w:p w14:paraId="21296E43">
      <w:pPr>
        <w:spacing w:line="420" w:lineRule="exact"/>
        <w:ind w:firstLine="420" w:firstLineChars="200"/>
        <w:jc w:val="left"/>
        <w:rPr>
          <w:rFonts w:hint="eastAsia" w:ascii="宋体" w:hAnsi="宋体" w:cs="宋体"/>
          <w:color w:val="auto"/>
          <w:szCs w:val="21"/>
          <w:highlight w:val="none"/>
        </w:rPr>
      </w:pPr>
      <w:bookmarkStart w:id="453" w:name="_Toc15058881"/>
      <w:r>
        <w:rPr>
          <w:rFonts w:hint="eastAsia" w:ascii="宋体" w:hAnsi="宋体" w:cs="宋体"/>
          <w:color w:val="auto"/>
          <w:szCs w:val="21"/>
          <w:highlight w:val="none"/>
        </w:rPr>
        <w:t>（3）公布投标人投标报价、质量目标、工期及其他内容，并记录在案；</w:t>
      </w:r>
      <w:bookmarkEnd w:id="453"/>
    </w:p>
    <w:p w14:paraId="35AE6FD0">
      <w:pPr>
        <w:spacing w:line="420" w:lineRule="exact"/>
        <w:ind w:firstLine="420" w:firstLineChars="200"/>
        <w:jc w:val="left"/>
        <w:rPr>
          <w:rFonts w:hint="eastAsia" w:ascii="宋体" w:hAnsi="宋体" w:cs="宋体"/>
          <w:color w:val="auto"/>
          <w:szCs w:val="21"/>
          <w:highlight w:val="none"/>
        </w:rPr>
      </w:pPr>
      <w:bookmarkStart w:id="454" w:name="_Toc15058882"/>
      <w:r>
        <w:rPr>
          <w:rFonts w:hint="eastAsia" w:ascii="宋体" w:hAnsi="宋体" w:cs="宋体"/>
          <w:color w:val="auto"/>
          <w:szCs w:val="21"/>
          <w:highlight w:val="none"/>
        </w:rPr>
        <w:t>（4）开标结束。</w:t>
      </w:r>
      <w:bookmarkEnd w:id="454"/>
    </w:p>
    <w:bookmarkEnd w:id="448"/>
    <w:bookmarkEnd w:id="449"/>
    <w:bookmarkEnd w:id="451"/>
    <w:p w14:paraId="6E8ED4BD">
      <w:pPr>
        <w:pStyle w:val="7"/>
        <w:spacing w:before="120" w:beforeLines="50" w:after="120" w:afterLines="50" w:line="420" w:lineRule="exact"/>
        <w:ind w:firstLine="482" w:firstLineChars="200"/>
        <w:rPr>
          <w:rFonts w:hint="eastAsia" w:ascii="宋体" w:hAnsi="宋体" w:eastAsia="宋体" w:cs="宋体"/>
          <w:color w:val="auto"/>
          <w:sz w:val="24"/>
          <w:szCs w:val="24"/>
          <w:highlight w:val="none"/>
        </w:rPr>
      </w:pPr>
      <w:bookmarkStart w:id="455" w:name="_Toc179632580"/>
      <w:bookmarkStart w:id="456" w:name="_Toc246996206"/>
      <w:bookmarkStart w:id="457" w:name="_Toc506107299"/>
      <w:bookmarkStart w:id="458" w:name="_Toc324404846"/>
      <w:bookmarkStart w:id="459" w:name="_Toc152042338"/>
      <w:bookmarkStart w:id="460" w:name="_Toc78803352"/>
      <w:bookmarkStart w:id="461" w:name="_Toc144974530"/>
      <w:bookmarkStart w:id="462" w:name="_Toc20689"/>
      <w:bookmarkStart w:id="463" w:name="_Toc247085720"/>
      <w:bookmarkStart w:id="464" w:name="_Toc35424919"/>
      <w:bookmarkStart w:id="465" w:name="_Toc15058884"/>
      <w:bookmarkStart w:id="466" w:name="_Toc152045562"/>
      <w:bookmarkStart w:id="467" w:name="_Toc246996949"/>
      <w:bookmarkStart w:id="468" w:name="_Toc35425085"/>
      <w:r>
        <w:rPr>
          <w:rFonts w:hint="eastAsia" w:ascii="宋体" w:hAnsi="宋体" w:eastAsia="宋体" w:cs="宋体"/>
          <w:color w:val="auto"/>
          <w:sz w:val="24"/>
          <w:szCs w:val="24"/>
          <w:highlight w:val="none"/>
        </w:rPr>
        <w:t>6. 评标</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05CD3CDB">
      <w:pPr>
        <w:pStyle w:val="7"/>
        <w:spacing w:line="420" w:lineRule="exact"/>
        <w:ind w:firstLine="422" w:firstLineChars="200"/>
        <w:rPr>
          <w:rFonts w:hint="eastAsia" w:ascii="宋体" w:hAnsi="宋体" w:eastAsia="宋体" w:cs="宋体"/>
          <w:color w:val="auto"/>
          <w:highlight w:val="none"/>
        </w:rPr>
      </w:pPr>
      <w:bookmarkStart w:id="469" w:name="_Toc15058885"/>
      <w:bookmarkStart w:id="470" w:name="_Toc78803353"/>
      <w:bookmarkStart w:id="471" w:name="_Toc179632581"/>
      <w:bookmarkStart w:id="472" w:name="_Toc14249"/>
      <w:bookmarkStart w:id="473" w:name="_Toc144974531"/>
      <w:bookmarkStart w:id="474" w:name="_Toc247085721"/>
      <w:bookmarkStart w:id="475" w:name="_Toc152045563"/>
      <w:bookmarkStart w:id="476" w:name="_Toc246996207"/>
      <w:bookmarkStart w:id="477" w:name="_Toc152042339"/>
      <w:bookmarkStart w:id="478" w:name="_Toc506107300"/>
      <w:bookmarkStart w:id="479" w:name="_Toc246996950"/>
      <w:bookmarkStart w:id="480" w:name="_Toc35425086"/>
      <w:bookmarkStart w:id="481" w:name="_Toc35424920"/>
      <w:bookmarkStart w:id="482" w:name="_Toc324404847"/>
      <w:bookmarkStart w:id="483" w:name="_Toc296602452"/>
      <w:r>
        <w:rPr>
          <w:rFonts w:hint="eastAsia" w:ascii="宋体" w:hAnsi="宋体" w:eastAsia="宋体" w:cs="宋体"/>
          <w:color w:val="auto"/>
          <w:highlight w:val="none"/>
        </w:rPr>
        <w:t>6.1 评标委员会</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2B037257">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w:t>
      </w:r>
    </w:p>
    <w:p w14:paraId="0BEC4A30">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5DE4D976">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（1）投标人或投标人主要负责人的近亲属；</w:t>
      </w:r>
    </w:p>
    <w:p w14:paraId="4D782FA3">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14:paraId="1B3D787F">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（3）与投标人有经济利益关系；</w:t>
      </w:r>
    </w:p>
    <w:p w14:paraId="3A45C0ED">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14:paraId="276CA682">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（5）与投标人有其他利害关系。</w:t>
      </w:r>
    </w:p>
    <w:p w14:paraId="29193A33">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31AE25DC">
      <w:pPr>
        <w:pStyle w:val="7"/>
        <w:spacing w:line="420" w:lineRule="exact"/>
        <w:ind w:firstLine="422" w:firstLineChars="200"/>
        <w:rPr>
          <w:rFonts w:hint="eastAsia" w:ascii="宋体" w:hAnsi="宋体" w:eastAsia="宋体" w:cs="宋体"/>
          <w:color w:val="auto"/>
          <w:highlight w:val="none"/>
        </w:rPr>
      </w:pPr>
      <w:bookmarkStart w:id="484" w:name="_Toc35424921"/>
      <w:bookmarkStart w:id="485" w:name="_Toc296602453"/>
      <w:bookmarkStart w:id="486" w:name="_Toc506107301"/>
      <w:bookmarkStart w:id="487" w:name="_Toc324404848"/>
      <w:bookmarkStart w:id="488" w:name="_Toc179632582"/>
      <w:bookmarkStart w:id="489" w:name="_Toc78803354"/>
      <w:bookmarkStart w:id="490" w:name="_Toc246996951"/>
      <w:bookmarkStart w:id="491" w:name="_Toc246996208"/>
      <w:bookmarkStart w:id="492" w:name="_Toc152042340"/>
      <w:bookmarkStart w:id="493" w:name="_Toc247085722"/>
      <w:bookmarkStart w:id="494" w:name="_Toc144974532"/>
      <w:bookmarkStart w:id="495" w:name="_Toc15058886"/>
      <w:bookmarkStart w:id="496" w:name="_Toc152045564"/>
      <w:bookmarkStart w:id="497" w:name="_Toc12948"/>
      <w:bookmarkStart w:id="498" w:name="_Toc35425087"/>
      <w:r>
        <w:rPr>
          <w:rFonts w:hint="eastAsia" w:ascii="宋体" w:hAnsi="宋体" w:eastAsia="宋体" w:cs="宋体"/>
          <w:color w:val="auto"/>
          <w:highlight w:val="none"/>
        </w:rPr>
        <w:t>6.2 评标原则</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7B815EAC">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180D3AD1">
      <w:pPr>
        <w:pStyle w:val="7"/>
        <w:spacing w:line="420" w:lineRule="exact"/>
        <w:ind w:firstLine="422" w:firstLineChars="200"/>
        <w:rPr>
          <w:rFonts w:hint="eastAsia" w:ascii="宋体" w:hAnsi="宋体" w:eastAsia="宋体" w:cs="宋体"/>
          <w:color w:val="auto"/>
          <w:highlight w:val="none"/>
        </w:rPr>
      </w:pPr>
      <w:bookmarkStart w:id="499" w:name="_Toc324404849"/>
      <w:bookmarkStart w:id="500" w:name="_Toc247085723"/>
      <w:bookmarkStart w:id="501" w:name="_Toc246996209"/>
      <w:bookmarkStart w:id="502" w:name="_Toc179632583"/>
      <w:bookmarkStart w:id="503" w:name="_Toc296602454"/>
      <w:bookmarkStart w:id="504" w:name="_Toc14892"/>
      <w:bookmarkStart w:id="505" w:name="_Toc152045565"/>
      <w:bookmarkStart w:id="506" w:name="_Toc246996952"/>
      <w:bookmarkStart w:id="507" w:name="_Toc15058887"/>
      <w:bookmarkStart w:id="508" w:name="_Toc152042341"/>
      <w:bookmarkStart w:id="509" w:name="_Toc144974533"/>
      <w:bookmarkStart w:id="510" w:name="_Toc78803355"/>
      <w:bookmarkStart w:id="511" w:name="_Toc35425088"/>
      <w:bookmarkStart w:id="512" w:name="_Toc506107302"/>
      <w:bookmarkStart w:id="513" w:name="_Toc35424922"/>
      <w:r>
        <w:rPr>
          <w:rFonts w:hint="eastAsia" w:ascii="宋体" w:hAnsi="宋体" w:eastAsia="宋体" w:cs="宋体"/>
          <w:color w:val="auto"/>
          <w:highlight w:val="none"/>
        </w:rPr>
        <w:t>6.3 评标</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5765D118">
      <w:pPr>
        <w:spacing w:line="420" w:lineRule="exact"/>
        <w:ind w:firstLine="420" w:firstLineChars="200"/>
        <w:jc w:val="left"/>
        <w:rPr>
          <w:rFonts w:hint="eastAsia" w:ascii="宋体" w:hAnsi="宋体" w:cs="宋体"/>
          <w:color w:val="auto"/>
          <w:szCs w:val="21"/>
          <w:highlight w:val="none"/>
        </w:rPr>
      </w:pPr>
      <w:bookmarkStart w:id="514" w:name="_Toc246996210"/>
      <w:bookmarkStart w:id="515" w:name="_Toc144974534"/>
      <w:bookmarkStart w:id="516" w:name="_Toc152042342"/>
      <w:bookmarkStart w:id="517" w:name="_Toc324404850"/>
      <w:bookmarkStart w:id="518" w:name="_Toc152045566"/>
      <w:bookmarkStart w:id="519" w:name="_Toc179632584"/>
      <w:bookmarkStart w:id="520" w:name="_Toc246996953"/>
      <w:bookmarkStart w:id="521" w:name="_Toc247085724"/>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275430A9">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005F8677">
      <w:pPr>
        <w:pStyle w:val="7"/>
        <w:spacing w:before="120" w:beforeLines="50" w:after="120" w:afterLines="50" w:line="420" w:lineRule="exact"/>
        <w:ind w:firstLine="482" w:firstLineChars="200"/>
        <w:rPr>
          <w:rFonts w:hint="eastAsia" w:ascii="宋体" w:hAnsi="宋体" w:eastAsia="宋体" w:cs="宋体"/>
          <w:color w:val="auto"/>
          <w:sz w:val="24"/>
          <w:szCs w:val="24"/>
          <w:highlight w:val="none"/>
        </w:rPr>
      </w:pPr>
      <w:bookmarkStart w:id="522" w:name="_Toc15058888"/>
      <w:bookmarkStart w:id="523" w:name="_Toc35425089"/>
      <w:bookmarkStart w:id="524" w:name="_Toc506107303"/>
      <w:bookmarkStart w:id="525" w:name="_Toc78803356"/>
      <w:bookmarkStart w:id="526" w:name="_Toc35424923"/>
      <w:bookmarkStart w:id="527" w:name="_Toc26182"/>
      <w:r>
        <w:rPr>
          <w:rFonts w:hint="eastAsia" w:ascii="宋体" w:hAnsi="宋体" w:eastAsia="宋体" w:cs="宋体"/>
          <w:color w:val="auto"/>
          <w:sz w:val="24"/>
          <w:szCs w:val="24"/>
          <w:highlight w:val="none"/>
        </w:rPr>
        <w:t>7. 合同授予</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0F807D03">
      <w:pPr>
        <w:pStyle w:val="7"/>
        <w:spacing w:line="420" w:lineRule="exact"/>
        <w:ind w:firstLine="422" w:firstLineChars="200"/>
        <w:rPr>
          <w:rFonts w:hint="eastAsia" w:ascii="宋体" w:hAnsi="宋体" w:eastAsia="宋体" w:cs="宋体"/>
          <w:color w:val="auto"/>
          <w:highlight w:val="none"/>
        </w:rPr>
      </w:pPr>
      <w:bookmarkStart w:id="528" w:name="_Toc83301726"/>
      <w:bookmarkStart w:id="529" w:name="_Toc324404852"/>
      <w:bookmarkStart w:id="530" w:name="_Toc60061472"/>
      <w:bookmarkStart w:id="531" w:name="_Toc95223374"/>
      <w:bookmarkStart w:id="532" w:name="_Toc296602457"/>
      <w:bookmarkStart w:id="533" w:name="_Toc15058890"/>
      <w:bookmarkStart w:id="534" w:name="_Toc506107305"/>
      <w:bookmarkStart w:id="535" w:name="_Toc4204"/>
      <w:bookmarkStart w:id="536" w:name="_Toc506107306"/>
      <w:bookmarkStart w:id="537" w:name="_Toc179632586"/>
      <w:bookmarkStart w:id="538" w:name="_Toc152042344"/>
      <w:bookmarkStart w:id="539" w:name="_Toc14692"/>
      <w:bookmarkStart w:id="540" w:name="_Toc35425093"/>
      <w:bookmarkStart w:id="541" w:name="_Toc246996212"/>
      <w:bookmarkStart w:id="542" w:name="_Toc152045568"/>
      <w:bookmarkStart w:id="543" w:name="_Toc78803360"/>
      <w:bookmarkStart w:id="544" w:name="_Toc15058891"/>
      <w:bookmarkStart w:id="545" w:name="_Toc247085726"/>
      <w:bookmarkStart w:id="546" w:name="_Toc35424927"/>
      <w:bookmarkStart w:id="547" w:name="_Toc324404853"/>
      <w:bookmarkStart w:id="548" w:name="_Toc144974536"/>
      <w:bookmarkStart w:id="549" w:name="_Toc246996955"/>
      <w:bookmarkStart w:id="550" w:name="_Toc296602458"/>
      <w:r>
        <w:rPr>
          <w:rFonts w:hint="eastAsia" w:ascii="宋体" w:hAnsi="宋体" w:eastAsia="宋体" w:cs="宋体"/>
          <w:color w:val="auto"/>
          <w:highlight w:val="none"/>
        </w:rPr>
        <w:t>7.1 中标候选人公示</w:t>
      </w:r>
      <w:bookmarkEnd w:id="528"/>
      <w:bookmarkEnd w:id="529"/>
      <w:bookmarkEnd w:id="530"/>
      <w:bookmarkEnd w:id="531"/>
      <w:bookmarkEnd w:id="532"/>
      <w:bookmarkEnd w:id="533"/>
      <w:bookmarkEnd w:id="534"/>
    </w:p>
    <w:p w14:paraId="55885F93">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招标人在收到评标报告之日起3日内，按照投标人须知前附表规定的公示媒介和期限依法公示。中标候选人公示期不得少于3日。</w:t>
      </w:r>
    </w:p>
    <w:p w14:paraId="164F1D17">
      <w:pPr>
        <w:pStyle w:val="7"/>
        <w:spacing w:line="420" w:lineRule="exact"/>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235CCEDC">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35"/>
    <w:p w14:paraId="7B159C90">
      <w:pPr>
        <w:pStyle w:val="7"/>
        <w:spacing w:line="420" w:lineRule="exact"/>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7C415F86">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14:paraId="7A7752C7">
      <w:pPr>
        <w:pStyle w:val="7"/>
        <w:spacing w:line="420" w:lineRule="exact"/>
        <w:ind w:firstLine="422" w:firstLineChars="200"/>
        <w:rPr>
          <w:rFonts w:hint="eastAsia" w:ascii="宋体" w:hAnsi="宋体" w:eastAsia="宋体" w:cs="宋体"/>
          <w:color w:val="auto"/>
          <w:highlight w:val="none"/>
        </w:rPr>
      </w:pPr>
      <w:bookmarkStart w:id="551" w:name="_Toc95223375"/>
      <w:bookmarkStart w:id="552" w:name="_Toc83301727"/>
      <w:bookmarkStart w:id="553" w:name="_Toc60061474"/>
      <w:bookmarkStart w:id="554" w:name="_Toc152042346"/>
      <w:bookmarkStart w:id="555" w:name="_Toc246996214"/>
      <w:bookmarkStart w:id="556" w:name="_Toc152045570"/>
      <w:bookmarkStart w:id="557" w:name="_Toc11010"/>
      <w:bookmarkStart w:id="558" w:name="_Toc15058893"/>
      <w:bookmarkStart w:id="559" w:name="_Toc506107308"/>
      <w:bookmarkStart w:id="560" w:name="_Toc144974538"/>
      <w:bookmarkStart w:id="561" w:name="_Toc247085728"/>
      <w:bookmarkStart w:id="562" w:name="_Toc324404855"/>
      <w:bookmarkStart w:id="563" w:name="_Toc246996957"/>
      <w:bookmarkStart w:id="564" w:name="_Toc179632588"/>
      <w:bookmarkStart w:id="565" w:name="_Toc296602460"/>
      <w:bookmarkStart w:id="566" w:name="_Toc78803363"/>
      <w:bookmarkStart w:id="567" w:name="_Toc35424930"/>
      <w:bookmarkStart w:id="568" w:name="_Toc35425096"/>
      <w:r>
        <w:rPr>
          <w:rFonts w:hint="eastAsia" w:ascii="宋体" w:hAnsi="宋体" w:eastAsia="宋体" w:cs="宋体"/>
          <w:color w:val="auto"/>
          <w:highlight w:val="none"/>
        </w:rPr>
        <w:t>7.4 定标</w:t>
      </w:r>
      <w:bookmarkEnd w:id="551"/>
      <w:bookmarkEnd w:id="552"/>
    </w:p>
    <w:p w14:paraId="5C007E22">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C2C768E">
      <w:pPr>
        <w:pStyle w:val="7"/>
        <w:spacing w:line="420" w:lineRule="exact"/>
        <w:ind w:firstLine="422" w:firstLineChars="200"/>
        <w:rPr>
          <w:rFonts w:hint="eastAsia" w:ascii="宋体" w:hAnsi="宋体" w:eastAsia="宋体" w:cs="宋体"/>
          <w:color w:val="auto"/>
          <w:highlight w:val="none"/>
        </w:rPr>
      </w:pPr>
      <w:bookmarkStart w:id="569" w:name="_Toc95223376"/>
      <w:bookmarkStart w:id="570" w:name="_Toc83301728"/>
      <w:r>
        <w:rPr>
          <w:rFonts w:hint="eastAsia" w:ascii="宋体" w:hAnsi="宋体" w:eastAsia="宋体" w:cs="宋体"/>
          <w:color w:val="auto"/>
          <w:highlight w:val="none"/>
        </w:rPr>
        <w:t>7.5 中标通知</w:t>
      </w:r>
      <w:bookmarkEnd w:id="553"/>
      <w:bookmarkEnd w:id="569"/>
      <w:bookmarkEnd w:id="570"/>
    </w:p>
    <w:p w14:paraId="3282ED6D">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在本招标文件规定的投标有效期内，招标人向中标人发出中标通知书，同时将中标结果通知未中标的投标人。</w:t>
      </w:r>
    </w:p>
    <w:p w14:paraId="2FDB40E4">
      <w:pPr>
        <w:pStyle w:val="7"/>
        <w:spacing w:line="420" w:lineRule="exact"/>
        <w:ind w:firstLine="422" w:firstLineChars="200"/>
        <w:rPr>
          <w:rFonts w:hint="eastAsia" w:ascii="宋体" w:hAnsi="宋体" w:eastAsia="宋体" w:cs="宋体"/>
          <w:color w:val="auto"/>
          <w:highlight w:val="none"/>
        </w:rPr>
      </w:pPr>
      <w:bookmarkStart w:id="571" w:name="_Toc95223377"/>
      <w:r>
        <w:rPr>
          <w:rFonts w:hint="eastAsia" w:ascii="宋体" w:hAnsi="宋体" w:eastAsia="宋体" w:cs="宋体"/>
          <w:color w:val="auto"/>
          <w:highlight w:val="none"/>
        </w:rPr>
        <w:t>7.6 中标结果公示</w:t>
      </w:r>
      <w:bookmarkEnd w:id="571"/>
    </w:p>
    <w:p w14:paraId="66EDF207">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招标人在确定中标人之日起3日内，按照投标人须知前附表规定的公示媒介和期限依法公示中标结果。</w:t>
      </w:r>
    </w:p>
    <w:p w14:paraId="0552CE11">
      <w:pPr>
        <w:pStyle w:val="7"/>
        <w:spacing w:line="420" w:lineRule="exact"/>
        <w:ind w:firstLine="422" w:firstLineChars="200"/>
        <w:rPr>
          <w:rFonts w:hint="eastAsia" w:ascii="宋体" w:hAnsi="宋体" w:eastAsia="宋体" w:cs="宋体"/>
          <w:color w:val="auto"/>
          <w:highlight w:val="none"/>
        </w:rPr>
      </w:pPr>
      <w:bookmarkStart w:id="572" w:name="_Toc60061476"/>
      <w:bookmarkStart w:id="573" w:name="_Toc247085727"/>
      <w:bookmarkStart w:id="574" w:name="_Toc246996213"/>
      <w:bookmarkStart w:id="575" w:name="_Toc296602459"/>
      <w:bookmarkStart w:id="576" w:name="_Toc506107307"/>
      <w:bookmarkStart w:id="577" w:name="_Toc152045569"/>
      <w:bookmarkStart w:id="578" w:name="_Toc83301730"/>
      <w:bookmarkStart w:id="579" w:name="_Toc152042345"/>
      <w:bookmarkStart w:id="580" w:name="_Toc95223378"/>
      <w:bookmarkStart w:id="581" w:name="_Toc144974537"/>
      <w:bookmarkStart w:id="582" w:name="_Toc179632587"/>
      <w:bookmarkStart w:id="583" w:name="_Toc15058892"/>
      <w:bookmarkStart w:id="584" w:name="_Toc324404854"/>
      <w:bookmarkStart w:id="585" w:name="_Toc246996956"/>
      <w:r>
        <w:rPr>
          <w:rFonts w:hint="eastAsia" w:ascii="宋体" w:hAnsi="宋体" w:eastAsia="宋体" w:cs="宋体"/>
          <w:color w:val="auto"/>
          <w:highlight w:val="none"/>
        </w:rPr>
        <w:t>7.8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2B524EE6">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7.8.1在签订合同前，中标人应按投标人须知前附表规定的担保形式和招标文件第四章“合同条款及格式”规定的或者事先经过招标人书面认可的履约担保格式向招标人提交履约担保。联合体中标的，其履约担保应符合投标人须知前附表规定的金额、担保形式和招标文件第四章“合同条款及格式”规定的履约担保格式要求。</w:t>
      </w:r>
    </w:p>
    <w:p w14:paraId="4D06392A">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1599A5A8">
      <w:pPr>
        <w:pStyle w:val="7"/>
        <w:spacing w:line="420" w:lineRule="exact"/>
        <w:ind w:firstLine="422" w:firstLineChars="200"/>
        <w:rPr>
          <w:rFonts w:hint="eastAsia" w:ascii="宋体" w:hAnsi="宋体" w:eastAsia="宋体" w:cs="宋体"/>
          <w:color w:val="auto"/>
          <w:highlight w:val="none"/>
        </w:rPr>
      </w:pPr>
      <w:bookmarkStart w:id="586" w:name="_Toc95223379"/>
      <w:bookmarkStart w:id="587" w:name="_Toc83301731"/>
      <w:bookmarkStart w:id="588" w:name="_Toc60061477"/>
      <w:r>
        <w:rPr>
          <w:rFonts w:hint="eastAsia" w:ascii="宋体" w:hAnsi="宋体" w:eastAsia="宋体" w:cs="宋体"/>
          <w:color w:val="auto"/>
          <w:highlight w:val="none"/>
        </w:rPr>
        <w:t>7.9 签订合同</w:t>
      </w:r>
      <w:bookmarkEnd w:id="586"/>
      <w:bookmarkEnd w:id="587"/>
      <w:bookmarkEnd w:id="588"/>
    </w:p>
    <w:p w14:paraId="29204D74">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7.9.1本招标工程的施工合同将授予按本须知第7.4款规定所确定的中标人。</w:t>
      </w:r>
    </w:p>
    <w:p w14:paraId="6F043869">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6B219CBC">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7.9.3 发出中标通知书后，招标人无正当理由拒签合同的，招标人向中标人退还投标保证金；给中标人造成损失的，还应当赔偿损失。</w:t>
      </w:r>
    </w:p>
    <w:p w14:paraId="583CC2DF">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1C20FBE0">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7.9.5 联合体中标的，联合体各方应当共同与招标人签订合同，就中标项目向招标人承担连带责任。</w:t>
      </w:r>
    </w:p>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16DC4398">
      <w:pPr>
        <w:pStyle w:val="7"/>
        <w:spacing w:before="120" w:beforeLines="50" w:after="120" w:afterLines="50" w:line="420" w:lineRule="exact"/>
        <w:ind w:firstLine="422" w:firstLineChars="200"/>
        <w:rPr>
          <w:rFonts w:hint="eastAsia" w:ascii="宋体" w:hAnsi="宋体" w:eastAsia="宋体" w:cs="宋体"/>
          <w:color w:val="auto"/>
          <w:highlight w:val="none"/>
        </w:rPr>
      </w:pPr>
      <w:bookmarkStart w:id="589" w:name="_Toc152042347"/>
      <w:bookmarkStart w:id="590" w:name="_Toc60061478"/>
      <w:bookmarkStart w:id="591" w:name="_Toc83301732"/>
      <w:bookmarkStart w:id="592" w:name="_Toc179632589"/>
      <w:bookmarkStart w:id="593" w:name="_Toc152045571"/>
      <w:bookmarkStart w:id="594" w:name="_Toc95223381"/>
      <w:bookmarkStart w:id="595" w:name="_Toc144974539"/>
      <w:bookmarkStart w:id="596" w:name="_Toc35424931"/>
      <w:bookmarkStart w:id="597" w:name="_Toc31686"/>
      <w:bookmarkStart w:id="598" w:name="_Toc78803367"/>
      <w:bookmarkStart w:id="599" w:name="_Toc26974"/>
      <w:bookmarkStart w:id="600" w:name="_Toc25375"/>
      <w:bookmarkStart w:id="601" w:name="_Toc35425097"/>
      <w:bookmarkStart w:id="602" w:name="_Toc324404864"/>
      <w:bookmarkStart w:id="603" w:name="_Toc15058902"/>
      <w:bookmarkStart w:id="604" w:name="_Toc506107317"/>
      <w:bookmarkStart w:id="605" w:name="_Toc35425105"/>
      <w:bookmarkStart w:id="606" w:name="_Toc35424939"/>
      <w:bookmarkStart w:id="607" w:name="_Toc296602475"/>
      <w:r>
        <w:rPr>
          <w:rFonts w:hint="eastAsia" w:ascii="宋体" w:hAnsi="宋体" w:eastAsia="宋体" w:cs="宋体"/>
          <w:color w:val="auto"/>
          <w:highlight w:val="none"/>
        </w:rPr>
        <w:t>8. 重新招标和不再招标</w:t>
      </w:r>
      <w:bookmarkEnd w:id="589"/>
      <w:bookmarkEnd w:id="590"/>
      <w:bookmarkEnd w:id="591"/>
      <w:bookmarkEnd w:id="592"/>
      <w:bookmarkEnd w:id="593"/>
      <w:bookmarkEnd w:id="594"/>
      <w:bookmarkEnd w:id="595"/>
    </w:p>
    <w:p w14:paraId="2031B98C">
      <w:pPr>
        <w:pStyle w:val="7"/>
        <w:spacing w:line="420" w:lineRule="exact"/>
        <w:ind w:firstLine="422" w:firstLineChars="200"/>
        <w:rPr>
          <w:rFonts w:hint="eastAsia" w:ascii="宋体" w:hAnsi="宋体" w:eastAsia="宋体" w:cs="宋体"/>
          <w:color w:val="auto"/>
          <w:highlight w:val="none"/>
        </w:rPr>
      </w:pPr>
      <w:bookmarkStart w:id="608" w:name="_Toc60061479"/>
      <w:bookmarkStart w:id="609" w:name="_Toc179632590"/>
      <w:bookmarkStart w:id="610" w:name="_Toc152042348"/>
      <w:bookmarkStart w:id="611" w:name="_Toc83301733"/>
      <w:bookmarkStart w:id="612" w:name="_Toc95223382"/>
      <w:bookmarkStart w:id="613" w:name="_Toc144974540"/>
      <w:bookmarkStart w:id="614" w:name="_Toc152045572"/>
      <w:r>
        <w:rPr>
          <w:rFonts w:hint="eastAsia" w:ascii="宋体" w:hAnsi="宋体" w:eastAsia="宋体" w:cs="宋体"/>
          <w:color w:val="auto"/>
          <w:highlight w:val="none"/>
        </w:rPr>
        <w:t>8.1 重新招标</w:t>
      </w:r>
      <w:bookmarkEnd w:id="608"/>
      <w:bookmarkEnd w:id="609"/>
      <w:bookmarkEnd w:id="610"/>
      <w:bookmarkEnd w:id="611"/>
      <w:bookmarkEnd w:id="612"/>
      <w:bookmarkEnd w:id="613"/>
      <w:bookmarkEnd w:id="614"/>
    </w:p>
    <w:p w14:paraId="4717B749">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依法必须招标的项目有下列情形之一的，招标人将重新招标：</w:t>
      </w:r>
    </w:p>
    <w:p w14:paraId="439ED3F2">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（1）投标截止时间止，投标人少于3个的；</w:t>
      </w:r>
    </w:p>
    <w:p w14:paraId="66D317AE">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（2）经评标委员会评审后否决所有投标的；</w:t>
      </w:r>
    </w:p>
    <w:p w14:paraId="3BD83318">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（3）中标候选人均未与招标人签订合同的；</w:t>
      </w:r>
    </w:p>
    <w:p w14:paraId="6D5E6892">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（4）法律、法规规定的其他情形。</w:t>
      </w:r>
    </w:p>
    <w:p w14:paraId="59D78064">
      <w:pPr>
        <w:pStyle w:val="7"/>
        <w:spacing w:line="420" w:lineRule="exact"/>
        <w:ind w:firstLine="422" w:firstLineChars="200"/>
        <w:rPr>
          <w:rFonts w:hint="eastAsia" w:ascii="宋体" w:hAnsi="宋体" w:eastAsia="宋体" w:cs="宋体"/>
          <w:color w:val="auto"/>
          <w:highlight w:val="none"/>
        </w:rPr>
      </w:pPr>
      <w:bookmarkStart w:id="615" w:name="_Toc95223383"/>
      <w:bookmarkStart w:id="616" w:name="_Toc179632591"/>
      <w:bookmarkStart w:id="617" w:name="_Toc60061480"/>
      <w:bookmarkStart w:id="618" w:name="_Toc152042349"/>
      <w:bookmarkStart w:id="619" w:name="_Toc144974541"/>
      <w:bookmarkStart w:id="620" w:name="_Toc83301734"/>
      <w:bookmarkStart w:id="621" w:name="_Toc152045573"/>
      <w:r>
        <w:rPr>
          <w:rFonts w:hint="eastAsia" w:ascii="宋体" w:hAnsi="宋体" w:eastAsia="宋体" w:cs="宋体"/>
          <w:color w:val="auto"/>
          <w:highlight w:val="none"/>
        </w:rPr>
        <w:t>8.2 不再招标</w:t>
      </w:r>
      <w:bookmarkEnd w:id="615"/>
      <w:bookmarkEnd w:id="616"/>
      <w:bookmarkEnd w:id="617"/>
      <w:bookmarkEnd w:id="618"/>
      <w:bookmarkEnd w:id="619"/>
      <w:bookmarkEnd w:id="620"/>
      <w:bookmarkEnd w:id="621"/>
    </w:p>
    <w:p w14:paraId="4D2F1A6B">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重新招标后投标人仍少于3个或者所有投标被否决的，属于必须审批或核准的工程建设项目，经原审批或核准部门批准后不再进行招标。</w:t>
      </w:r>
    </w:p>
    <w:p w14:paraId="7CB13292">
      <w:pPr>
        <w:pStyle w:val="7"/>
        <w:spacing w:before="120" w:beforeLines="50" w:after="120" w:afterLines="50" w:line="420" w:lineRule="exact"/>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9. 纪律和监督</w:t>
      </w:r>
      <w:bookmarkEnd w:id="596"/>
      <w:bookmarkEnd w:id="597"/>
      <w:bookmarkEnd w:id="598"/>
      <w:bookmarkEnd w:id="599"/>
      <w:bookmarkEnd w:id="600"/>
      <w:bookmarkEnd w:id="601"/>
    </w:p>
    <w:p w14:paraId="3FE30745">
      <w:pPr>
        <w:pStyle w:val="7"/>
        <w:spacing w:line="420" w:lineRule="exact"/>
        <w:ind w:firstLine="422" w:firstLineChars="200"/>
        <w:rPr>
          <w:rFonts w:hint="eastAsia" w:ascii="宋体" w:hAnsi="宋体" w:eastAsia="宋体" w:cs="宋体"/>
          <w:color w:val="auto"/>
          <w:highlight w:val="none"/>
        </w:rPr>
      </w:pPr>
      <w:bookmarkStart w:id="622" w:name="_Toc296602462"/>
      <w:bookmarkStart w:id="623" w:name="_Toc324404857"/>
      <w:bookmarkStart w:id="624" w:name="_Toc506107310"/>
      <w:bookmarkStart w:id="625" w:name="_Toc144974543"/>
      <w:bookmarkStart w:id="626" w:name="_Toc35425098"/>
      <w:bookmarkStart w:id="627" w:name="_Toc78803368"/>
      <w:bookmarkStart w:id="628" w:name="_Toc179632593"/>
      <w:bookmarkStart w:id="629" w:name="_Toc152045575"/>
      <w:bookmarkStart w:id="630" w:name="_Toc246996962"/>
      <w:bookmarkStart w:id="631" w:name="_Toc15607"/>
      <w:bookmarkStart w:id="632" w:name="_Toc246996219"/>
      <w:bookmarkStart w:id="633" w:name="_Toc152042351"/>
      <w:bookmarkStart w:id="634" w:name="_Toc247085733"/>
      <w:bookmarkStart w:id="635" w:name="_Toc15058895"/>
      <w:bookmarkStart w:id="636" w:name="_Toc2855"/>
      <w:bookmarkStart w:id="637" w:name="_Toc296590983"/>
      <w:bookmarkStart w:id="638" w:name="_Toc35424932"/>
      <w:r>
        <w:rPr>
          <w:rFonts w:hint="eastAsia" w:ascii="宋体" w:hAnsi="宋体" w:eastAsia="宋体" w:cs="宋体"/>
          <w:color w:val="auto"/>
          <w:highlight w:val="none"/>
        </w:rPr>
        <w:t>9.1 对招标人的纪律要求</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48B21D1F">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61AF89A5">
      <w:pPr>
        <w:pStyle w:val="7"/>
        <w:spacing w:line="420" w:lineRule="exact"/>
        <w:ind w:firstLine="422" w:firstLineChars="200"/>
        <w:rPr>
          <w:rFonts w:hint="eastAsia" w:ascii="宋体" w:hAnsi="宋体" w:eastAsia="宋体" w:cs="宋体"/>
          <w:color w:val="auto"/>
          <w:highlight w:val="none"/>
        </w:rPr>
      </w:pPr>
      <w:bookmarkStart w:id="639" w:name="_Toc78803369"/>
      <w:bookmarkStart w:id="640" w:name="_Toc179632594"/>
      <w:bookmarkStart w:id="641" w:name="_Toc246996220"/>
      <w:bookmarkStart w:id="642" w:name="_Toc296602463"/>
      <w:bookmarkStart w:id="643" w:name="_Toc324404858"/>
      <w:bookmarkStart w:id="644" w:name="_Toc15058896"/>
      <w:bookmarkStart w:id="645" w:name="_Toc152042352"/>
      <w:bookmarkStart w:id="646" w:name="_Toc144974544"/>
      <w:bookmarkStart w:id="647" w:name="_Toc19779"/>
      <w:bookmarkStart w:id="648" w:name="_Toc152045576"/>
      <w:bookmarkStart w:id="649" w:name="_Toc247085734"/>
      <w:bookmarkStart w:id="650" w:name="_Toc35425099"/>
      <w:bookmarkStart w:id="651" w:name="_Toc246996963"/>
      <w:bookmarkStart w:id="652" w:name="_Toc35424933"/>
      <w:bookmarkStart w:id="653" w:name="_Toc506107311"/>
      <w:bookmarkStart w:id="654" w:name="_Toc32177"/>
      <w:r>
        <w:rPr>
          <w:rFonts w:hint="eastAsia" w:ascii="宋体" w:hAnsi="宋体" w:eastAsia="宋体" w:cs="宋体"/>
          <w:color w:val="auto"/>
          <w:highlight w:val="none"/>
        </w:rPr>
        <w:t>9.2 对投标人的纪律要求</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1D9F60B9">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E21FDD0">
      <w:pPr>
        <w:pStyle w:val="7"/>
        <w:spacing w:line="420" w:lineRule="exact"/>
        <w:ind w:firstLine="422" w:firstLineChars="200"/>
        <w:rPr>
          <w:rFonts w:hint="eastAsia" w:ascii="宋体" w:hAnsi="宋体" w:eastAsia="宋体" w:cs="宋体"/>
          <w:color w:val="auto"/>
          <w:highlight w:val="none"/>
        </w:rPr>
      </w:pPr>
      <w:bookmarkStart w:id="655" w:name="_Toc35425100"/>
      <w:bookmarkStart w:id="656" w:name="_Toc246996964"/>
      <w:bookmarkStart w:id="657" w:name="_Toc152042353"/>
      <w:bookmarkStart w:id="658" w:name="_Toc296602464"/>
      <w:bookmarkStart w:id="659" w:name="_Toc246996221"/>
      <w:bookmarkStart w:id="660" w:name="_Toc324404859"/>
      <w:bookmarkStart w:id="661" w:name="_Toc35424934"/>
      <w:bookmarkStart w:id="662" w:name="_Toc12564"/>
      <w:bookmarkStart w:id="663" w:name="_Toc15058897"/>
      <w:bookmarkStart w:id="664" w:name="_Toc506107312"/>
      <w:bookmarkStart w:id="665" w:name="_Toc78803370"/>
      <w:bookmarkStart w:id="666" w:name="_Toc179632595"/>
      <w:bookmarkStart w:id="667" w:name="_Toc144974545"/>
      <w:bookmarkStart w:id="668" w:name="_Toc13043"/>
      <w:bookmarkStart w:id="669" w:name="_Toc152045577"/>
      <w:bookmarkStart w:id="670" w:name="_Toc247085735"/>
      <w:r>
        <w:rPr>
          <w:rFonts w:hint="eastAsia" w:ascii="宋体" w:hAnsi="宋体" w:eastAsia="宋体" w:cs="宋体"/>
          <w:color w:val="auto"/>
          <w:highlight w:val="none"/>
        </w:rPr>
        <w:t>9.3 对评标委员会成员的纪律要求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133BA53E">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84E479A">
      <w:pPr>
        <w:pStyle w:val="7"/>
        <w:spacing w:line="420" w:lineRule="exact"/>
        <w:ind w:firstLine="422" w:firstLineChars="200"/>
        <w:rPr>
          <w:rFonts w:hint="eastAsia" w:ascii="宋体" w:hAnsi="宋体" w:eastAsia="宋体" w:cs="宋体"/>
          <w:color w:val="auto"/>
          <w:highlight w:val="none"/>
        </w:rPr>
      </w:pPr>
      <w:bookmarkStart w:id="671" w:name="_Toc296602465"/>
      <w:bookmarkStart w:id="672" w:name="_Toc506107313"/>
      <w:bookmarkStart w:id="673" w:name="_Toc35425101"/>
      <w:bookmarkStart w:id="674" w:name="_Toc246996965"/>
      <w:bookmarkStart w:id="675" w:name="_Toc15058898"/>
      <w:bookmarkStart w:id="676" w:name="_Toc246996222"/>
      <w:bookmarkStart w:id="677" w:name="_Toc18329"/>
      <w:bookmarkStart w:id="678" w:name="_Toc78803371"/>
      <w:bookmarkStart w:id="679" w:name="_Toc152045578"/>
      <w:bookmarkStart w:id="680" w:name="_Toc324404860"/>
      <w:bookmarkStart w:id="681" w:name="_Toc35424935"/>
      <w:bookmarkStart w:id="682" w:name="_Toc179632596"/>
      <w:bookmarkStart w:id="683" w:name="_Toc32214"/>
      <w:bookmarkStart w:id="684" w:name="_Toc247085736"/>
      <w:bookmarkStart w:id="685" w:name="_Toc152042354"/>
      <w:bookmarkStart w:id="686" w:name="_Toc144974546"/>
      <w:r>
        <w:rPr>
          <w:rFonts w:hint="eastAsia" w:ascii="宋体" w:hAnsi="宋体" w:eastAsia="宋体" w:cs="宋体"/>
          <w:color w:val="auto"/>
          <w:highlight w:val="none"/>
        </w:rPr>
        <w:t>9.4 对与评标活动有关的工作人员的纪律要求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690BD930">
      <w:pPr>
        <w:spacing w:line="420" w:lineRule="exact"/>
        <w:ind w:firstLine="420" w:firstLineChars="200"/>
        <w:jc w:val="left"/>
        <w:rPr>
          <w:rFonts w:hint="eastAsia" w:ascii="宋体" w:hAnsi="宋体" w:cs="宋体"/>
          <w:color w:val="auto"/>
          <w:szCs w:val="21"/>
          <w:highlight w:val="none"/>
        </w:rPr>
      </w:pPr>
      <w:bookmarkStart w:id="687"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7"/>
    </w:p>
    <w:p w14:paraId="372D5BA7">
      <w:pPr>
        <w:pStyle w:val="7"/>
        <w:spacing w:line="420" w:lineRule="exact"/>
        <w:ind w:firstLine="422" w:firstLineChars="200"/>
        <w:rPr>
          <w:rFonts w:hint="eastAsia" w:ascii="宋体" w:hAnsi="宋体" w:eastAsia="宋体" w:cs="宋体"/>
          <w:color w:val="auto"/>
          <w:highlight w:val="none"/>
        </w:rPr>
      </w:pPr>
      <w:bookmarkStart w:id="688" w:name="_Toc246996223"/>
      <w:bookmarkStart w:id="689" w:name="_Toc246996966"/>
      <w:bookmarkStart w:id="690" w:name="_Toc179632597"/>
      <w:bookmarkStart w:id="691" w:name="_Toc78803372"/>
      <w:bookmarkStart w:id="692" w:name="_Toc35425102"/>
      <w:bookmarkStart w:id="693" w:name="_Toc324404861"/>
      <w:bookmarkStart w:id="694" w:name="_Toc35424936"/>
      <w:bookmarkStart w:id="695" w:name="_Toc15058899"/>
      <w:bookmarkStart w:id="696" w:name="_Toc152045579"/>
      <w:bookmarkStart w:id="697" w:name="_Toc506107314"/>
      <w:bookmarkStart w:id="698" w:name="_Toc152042356"/>
      <w:bookmarkStart w:id="699" w:name="_Toc23607"/>
      <w:bookmarkStart w:id="700" w:name="_Toc296602466"/>
      <w:bookmarkStart w:id="701" w:name="_Toc247085737"/>
      <w:bookmarkStart w:id="702" w:name="_Toc2811"/>
      <w:r>
        <w:rPr>
          <w:rFonts w:hint="eastAsia" w:ascii="宋体" w:hAnsi="宋体" w:eastAsia="宋体" w:cs="宋体"/>
          <w:color w:val="auto"/>
          <w:highlight w:val="none"/>
        </w:rPr>
        <w:t>9.5 投诉</w:t>
      </w:r>
      <w:bookmarkEnd w:id="686"/>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70DE6FDE">
      <w:pPr>
        <w:spacing w:line="420" w:lineRule="exact"/>
        <w:ind w:firstLine="420" w:firstLineChars="200"/>
        <w:jc w:val="left"/>
        <w:rPr>
          <w:rFonts w:hint="eastAsia" w:ascii="宋体" w:hAnsi="宋体" w:cs="宋体"/>
          <w:color w:val="auto"/>
          <w:szCs w:val="21"/>
          <w:highlight w:val="none"/>
        </w:rPr>
      </w:pPr>
      <w:bookmarkStart w:id="703" w:name="_Toc247085738"/>
      <w:bookmarkStart w:id="704" w:name="_Toc152042357"/>
      <w:bookmarkStart w:id="705" w:name="_Toc246996967"/>
      <w:bookmarkStart w:id="706" w:name="_Toc31643"/>
      <w:bookmarkStart w:id="707" w:name="_Toc35425103"/>
      <w:bookmarkStart w:id="708" w:name="_Toc144974547"/>
      <w:bookmarkStart w:id="709" w:name="_Toc20669"/>
      <w:bookmarkStart w:id="710" w:name="_Toc324404862"/>
      <w:bookmarkStart w:id="711" w:name="_Toc246996224"/>
      <w:bookmarkStart w:id="712" w:name="_Toc16463"/>
      <w:bookmarkStart w:id="713" w:name="_Toc35424937"/>
      <w:bookmarkStart w:id="714" w:name="_Toc152045580"/>
      <w:bookmarkStart w:id="715" w:name="_Toc15058900"/>
      <w:bookmarkStart w:id="716" w:name="_Toc78803373"/>
      <w:bookmarkStart w:id="717" w:name="_Toc179632598"/>
      <w:bookmarkStart w:id="718" w:name="_Toc506107315"/>
      <w:r>
        <w:rPr>
          <w:rFonts w:hint="eastAsia" w:ascii="宋体" w:hAnsi="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439D7848">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27ABCC1F">
      <w:pPr>
        <w:pStyle w:val="7"/>
        <w:spacing w:before="120" w:beforeLines="50" w:after="120" w:afterLines="50" w:line="420" w:lineRule="exact"/>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10.需要补充的其他内容</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2CB9B06A">
      <w:pPr>
        <w:spacing w:line="420" w:lineRule="exact"/>
        <w:ind w:firstLine="420" w:firstLineChars="200"/>
        <w:jc w:val="left"/>
        <w:rPr>
          <w:rFonts w:hint="eastAsia" w:ascii="宋体" w:hAnsi="宋体" w:cs="宋体"/>
          <w:color w:val="auto"/>
          <w:szCs w:val="21"/>
          <w:highlight w:val="none"/>
        </w:rPr>
      </w:pPr>
      <w:bookmarkStart w:id="719" w:name="_Toc15058901"/>
      <w:r>
        <w:rPr>
          <w:rFonts w:hint="eastAsia" w:ascii="宋体" w:hAnsi="宋体" w:cs="宋体"/>
          <w:color w:val="auto"/>
          <w:szCs w:val="21"/>
          <w:highlight w:val="none"/>
        </w:rPr>
        <w:t>需要补充的其他内容：见投标人须知前附表。</w:t>
      </w:r>
      <w:bookmarkEnd w:id="719"/>
    </w:p>
    <w:p w14:paraId="43F2833B">
      <w:pPr>
        <w:spacing w:line="440" w:lineRule="exact"/>
        <w:jc w:val="left"/>
        <w:rPr>
          <w:rFonts w:hint="eastAsia" w:ascii="宋体" w:hAnsi="宋体" w:cs="宋体"/>
          <w:color w:val="auto"/>
          <w:szCs w:val="21"/>
          <w:highlight w:val="none"/>
        </w:rPr>
      </w:pPr>
    </w:p>
    <w:p w14:paraId="59823072">
      <w:pPr>
        <w:pageBreakBefore/>
        <w:spacing w:before="192" w:beforeLines="80" w:after="192" w:afterLines="80" w:line="440" w:lineRule="exact"/>
        <w:jc w:val="center"/>
        <w:outlineLvl w:val="0"/>
        <w:rPr>
          <w:rFonts w:ascii="宋体"/>
          <w:b/>
          <w:color w:val="auto"/>
          <w:sz w:val="32"/>
          <w:szCs w:val="32"/>
          <w:highlight w:val="none"/>
        </w:rPr>
      </w:pPr>
      <w:bookmarkStart w:id="720" w:name="_Toc5501"/>
      <w:bookmarkStart w:id="721" w:name="_Toc78803375"/>
      <w:r>
        <w:rPr>
          <w:rFonts w:hint="eastAsia" w:ascii="宋体"/>
          <w:b/>
          <w:color w:val="auto"/>
          <w:sz w:val="32"/>
          <w:szCs w:val="32"/>
          <w:highlight w:val="none"/>
        </w:rPr>
        <w:t>第二章  资格审查</w:t>
      </w:r>
      <w:bookmarkEnd w:id="602"/>
      <w:r>
        <w:rPr>
          <w:rFonts w:hint="eastAsia" w:ascii="宋体"/>
          <w:b/>
          <w:color w:val="auto"/>
          <w:sz w:val="32"/>
          <w:szCs w:val="32"/>
          <w:highlight w:val="none"/>
        </w:rPr>
        <w:t>办法</w:t>
      </w:r>
      <w:bookmarkEnd w:id="603"/>
      <w:bookmarkEnd w:id="604"/>
      <w:bookmarkEnd w:id="605"/>
      <w:bookmarkEnd w:id="606"/>
      <w:bookmarkEnd w:id="720"/>
      <w:bookmarkEnd w:id="721"/>
    </w:p>
    <w:p w14:paraId="6234D93B">
      <w:pPr>
        <w:spacing w:before="120" w:beforeLines="50" w:after="120" w:afterLines="50" w:line="440" w:lineRule="exact"/>
        <w:jc w:val="center"/>
        <w:rPr>
          <w:rFonts w:hint="eastAsia" w:ascii="宋体" w:hAnsi="宋体" w:cs="宋体"/>
          <w:b/>
          <w:bCs/>
          <w:color w:val="auto"/>
          <w:sz w:val="28"/>
          <w:szCs w:val="22"/>
          <w:highlight w:val="none"/>
        </w:rPr>
      </w:pPr>
      <w:bookmarkStart w:id="722" w:name="_Toc35425106"/>
      <w:bookmarkStart w:id="723" w:name="_Toc35424940"/>
      <w:bookmarkStart w:id="724" w:name="_Toc324404865"/>
      <w:bookmarkStart w:id="725" w:name="_Toc15058903"/>
      <w:bookmarkStart w:id="726" w:name="_Toc506107318"/>
      <w:r>
        <w:rPr>
          <w:rFonts w:hint="eastAsia" w:ascii="宋体" w:hAnsi="宋体" w:cs="宋体"/>
          <w:b/>
          <w:bCs/>
          <w:color w:val="auto"/>
          <w:sz w:val="28"/>
          <w:szCs w:val="22"/>
          <w:highlight w:val="none"/>
        </w:rPr>
        <w:t>资格审查办法前附表</w:t>
      </w:r>
      <w:bookmarkEnd w:id="722"/>
      <w:bookmarkEnd w:id="723"/>
      <w:bookmarkEnd w:id="724"/>
      <w:bookmarkEnd w:id="725"/>
      <w:bookmarkEnd w:id="726"/>
    </w:p>
    <w:p w14:paraId="3A918297">
      <w:pPr>
        <w:spacing w:before="120" w:beforeLines="50" w:after="120" w:afterLines="50" w:line="440" w:lineRule="exact"/>
        <w:jc w:val="center"/>
        <w:rPr>
          <w:b/>
          <w:bCs/>
          <w:color w:val="auto"/>
          <w:sz w:val="24"/>
          <w:highlight w:val="none"/>
        </w:rPr>
      </w:pPr>
      <w:r>
        <w:rPr>
          <w:rFonts w:hint="eastAsia"/>
          <w:b/>
          <w:bCs/>
          <w:color w:val="auto"/>
          <w:sz w:val="24"/>
          <w:highlight w:val="none"/>
        </w:rPr>
        <w:t>资信证明文件评审</w:t>
      </w:r>
    </w:p>
    <w:tbl>
      <w:tblPr>
        <w:tblStyle w:val="4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7A86F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5988911B">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261E5C0A">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1395FE4F">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评审标准</w:t>
            </w:r>
          </w:p>
        </w:tc>
      </w:tr>
      <w:tr w14:paraId="301F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671C24A2">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6C0A4CCF">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47142DDF">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7884522A">
            <w:pPr>
              <w:spacing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检验电子标书</w:t>
            </w:r>
          </w:p>
        </w:tc>
      </w:tr>
      <w:tr w14:paraId="10EB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15B18CCB">
            <w:pPr>
              <w:spacing w:line="440" w:lineRule="exact"/>
              <w:jc w:val="center"/>
              <w:rPr>
                <w:rFonts w:hint="eastAsia" w:ascii="宋体" w:hAnsi="宋体" w:cs="宋体"/>
                <w:color w:val="auto"/>
                <w:szCs w:val="21"/>
                <w:highlight w:val="none"/>
              </w:rPr>
            </w:pPr>
          </w:p>
        </w:tc>
        <w:tc>
          <w:tcPr>
            <w:tcW w:w="1258" w:type="dxa"/>
            <w:vMerge w:val="continue"/>
            <w:noWrap/>
            <w:vAlign w:val="center"/>
          </w:tcPr>
          <w:p w14:paraId="0583AE41">
            <w:pPr>
              <w:spacing w:line="440" w:lineRule="exact"/>
              <w:jc w:val="center"/>
              <w:rPr>
                <w:rFonts w:hint="eastAsia" w:ascii="宋体" w:hAnsi="宋体" w:cs="宋体"/>
                <w:b/>
                <w:bCs/>
                <w:color w:val="auto"/>
                <w:szCs w:val="21"/>
                <w:highlight w:val="none"/>
              </w:rPr>
            </w:pPr>
          </w:p>
        </w:tc>
        <w:tc>
          <w:tcPr>
            <w:tcW w:w="6183" w:type="dxa"/>
            <w:noWrap/>
            <w:vAlign w:val="center"/>
          </w:tcPr>
          <w:p w14:paraId="085DC397">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25C9E943">
            <w:pPr>
              <w:spacing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检验电子标书</w:t>
            </w:r>
          </w:p>
        </w:tc>
      </w:tr>
      <w:tr w14:paraId="382D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00ACDCAA">
            <w:pPr>
              <w:spacing w:line="440" w:lineRule="exact"/>
              <w:jc w:val="center"/>
              <w:rPr>
                <w:rFonts w:hint="eastAsia" w:ascii="宋体" w:hAnsi="宋体" w:cs="宋体"/>
                <w:color w:val="auto"/>
                <w:szCs w:val="21"/>
                <w:highlight w:val="none"/>
              </w:rPr>
            </w:pPr>
          </w:p>
        </w:tc>
        <w:tc>
          <w:tcPr>
            <w:tcW w:w="1258" w:type="dxa"/>
            <w:vMerge w:val="continue"/>
            <w:noWrap/>
            <w:vAlign w:val="center"/>
          </w:tcPr>
          <w:p w14:paraId="2CC25AD7">
            <w:pPr>
              <w:spacing w:line="440" w:lineRule="exact"/>
              <w:jc w:val="center"/>
              <w:rPr>
                <w:rFonts w:hint="eastAsia" w:ascii="宋体" w:hAnsi="宋体" w:cs="宋体"/>
                <w:b/>
                <w:bCs/>
                <w:color w:val="auto"/>
                <w:szCs w:val="21"/>
                <w:highlight w:val="none"/>
              </w:rPr>
            </w:pPr>
          </w:p>
        </w:tc>
        <w:tc>
          <w:tcPr>
            <w:tcW w:w="6183" w:type="dxa"/>
            <w:noWrap/>
            <w:vAlign w:val="center"/>
          </w:tcPr>
          <w:p w14:paraId="5A6CC7F8">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34012858">
            <w:pPr>
              <w:spacing w:line="440" w:lineRule="exact"/>
              <w:rPr>
                <w:rFonts w:hint="eastAsia" w:ascii="宋体" w:hAnsi="宋体" w:cs="宋体"/>
                <w:b/>
                <w:color w:val="auto"/>
                <w:szCs w:val="21"/>
                <w:highlight w:val="none"/>
              </w:rPr>
            </w:pPr>
          </w:p>
        </w:tc>
      </w:tr>
      <w:tr w14:paraId="43D1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7FE9964A">
            <w:pPr>
              <w:spacing w:line="440" w:lineRule="exact"/>
              <w:jc w:val="center"/>
              <w:rPr>
                <w:rFonts w:hint="eastAsia" w:ascii="宋体" w:hAnsi="宋体" w:cs="宋体"/>
                <w:color w:val="auto"/>
                <w:szCs w:val="21"/>
                <w:highlight w:val="none"/>
              </w:rPr>
            </w:pPr>
          </w:p>
        </w:tc>
        <w:tc>
          <w:tcPr>
            <w:tcW w:w="1258" w:type="dxa"/>
            <w:vMerge w:val="continue"/>
            <w:noWrap/>
            <w:vAlign w:val="center"/>
          </w:tcPr>
          <w:p w14:paraId="0B42BBE6">
            <w:pPr>
              <w:spacing w:line="440" w:lineRule="exact"/>
              <w:jc w:val="center"/>
              <w:rPr>
                <w:rFonts w:hint="eastAsia" w:ascii="宋体" w:hAnsi="宋体" w:cs="宋体"/>
                <w:b/>
                <w:bCs/>
                <w:color w:val="auto"/>
                <w:szCs w:val="21"/>
                <w:highlight w:val="none"/>
              </w:rPr>
            </w:pPr>
          </w:p>
        </w:tc>
        <w:tc>
          <w:tcPr>
            <w:tcW w:w="6183" w:type="dxa"/>
            <w:noWrap/>
            <w:vAlign w:val="center"/>
          </w:tcPr>
          <w:p w14:paraId="065DD3CC">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14:paraId="3888E7AA">
            <w:pPr>
              <w:spacing w:line="440" w:lineRule="exact"/>
              <w:rPr>
                <w:rFonts w:hint="eastAsia" w:ascii="宋体" w:hAnsi="宋体" w:cs="宋体"/>
                <w:color w:val="auto"/>
                <w:szCs w:val="21"/>
                <w:highlight w:val="none"/>
              </w:rPr>
            </w:pPr>
          </w:p>
        </w:tc>
      </w:tr>
      <w:tr w14:paraId="5846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04C76AC">
            <w:pPr>
              <w:spacing w:line="440" w:lineRule="exact"/>
              <w:jc w:val="center"/>
              <w:rPr>
                <w:rFonts w:hint="eastAsia" w:ascii="宋体" w:hAnsi="宋体" w:cs="宋体"/>
                <w:color w:val="auto"/>
                <w:szCs w:val="21"/>
                <w:highlight w:val="none"/>
              </w:rPr>
            </w:pPr>
          </w:p>
        </w:tc>
        <w:tc>
          <w:tcPr>
            <w:tcW w:w="1258" w:type="dxa"/>
            <w:vMerge w:val="continue"/>
            <w:noWrap/>
            <w:vAlign w:val="center"/>
          </w:tcPr>
          <w:p w14:paraId="3A59D92B">
            <w:pPr>
              <w:spacing w:line="440" w:lineRule="exact"/>
              <w:jc w:val="center"/>
              <w:rPr>
                <w:rFonts w:hint="eastAsia" w:ascii="宋体" w:hAnsi="宋体" w:cs="宋体"/>
                <w:b/>
                <w:bCs/>
                <w:color w:val="auto"/>
                <w:szCs w:val="21"/>
                <w:highlight w:val="none"/>
              </w:rPr>
            </w:pPr>
          </w:p>
        </w:tc>
        <w:tc>
          <w:tcPr>
            <w:tcW w:w="6183" w:type="dxa"/>
            <w:noWrap/>
          </w:tcPr>
          <w:p w14:paraId="06A6DBC3">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14:paraId="3AEDE23D">
            <w:pPr>
              <w:spacing w:line="440" w:lineRule="exact"/>
              <w:rPr>
                <w:rFonts w:hint="eastAsia" w:ascii="宋体" w:hAnsi="宋体" w:cs="宋体"/>
                <w:color w:val="auto"/>
                <w:szCs w:val="21"/>
                <w:highlight w:val="none"/>
              </w:rPr>
            </w:pPr>
          </w:p>
        </w:tc>
      </w:tr>
      <w:tr w14:paraId="3D72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187CE58E">
            <w:pPr>
              <w:spacing w:line="440" w:lineRule="exact"/>
              <w:jc w:val="center"/>
              <w:rPr>
                <w:rFonts w:hint="eastAsia" w:ascii="宋体" w:hAnsi="宋体" w:cs="宋体"/>
                <w:color w:val="auto"/>
                <w:szCs w:val="21"/>
                <w:highlight w:val="none"/>
              </w:rPr>
            </w:pPr>
          </w:p>
        </w:tc>
        <w:tc>
          <w:tcPr>
            <w:tcW w:w="1258" w:type="dxa"/>
            <w:vMerge w:val="continue"/>
            <w:noWrap/>
            <w:vAlign w:val="center"/>
          </w:tcPr>
          <w:p w14:paraId="39C9B566">
            <w:pPr>
              <w:spacing w:line="440" w:lineRule="exact"/>
              <w:jc w:val="center"/>
              <w:rPr>
                <w:rFonts w:hint="eastAsia" w:ascii="宋体" w:hAnsi="宋体" w:cs="宋体"/>
                <w:b/>
                <w:bCs/>
                <w:color w:val="auto"/>
                <w:szCs w:val="21"/>
                <w:highlight w:val="none"/>
              </w:rPr>
            </w:pPr>
          </w:p>
        </w:tc>
        <w:tc>
          <w:tcPr>
            <w:tcW w:w="6183" w:type="dxa"/>
            <w:noWrap/>
          </w:tcPr>
          <w:p w14:paraId="4B674C97">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860" w:type="dxa"/>
            <w:vMerge w:val="continue"/>
            <w:noWrap/>
            <w:vAlign w:val="center"/>
          </w:tcPr>
          <w:p w14:paraId="2996BC89">
            <w:pPr>
              <w:spacing w:line="440" w:lineRule="exact"/>
              <w:rPr>
                <w:rFonts w:hint="eastAsia" w:ascii="宋体" w:hAnsi="宋体" w:cs="宋体"/>
                <w:color w:val="auto"/>
                <w:szCs w:val="21"/>
                <w:highlight w:val="none"/>
              </w:rPr>
            </w:pPr>
          </w:p>
        </w:tc>
      </w:tr>
      <w:tr w14:paraId="00B1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41407331">
            <w:pPr>
              <w:spacing w:line="440" w:lineRule="exact"/>
              <w:jc w:val="center"/>
              <w:rPr>
                <w:rFonts w:hint="eastAsia" w:ascii="宋体" w:hAnsi="宋体" w:cs="宋体"/>
                <w:color w:val="auto"/>
                <w:szCs w:val="21"/>
                <w:highlight w:val="none"/>
              </w:rPr>
            </w:pPr>
          </w:p>
        </w:tc>
        <w:tc>
          <w:tcPr>
            <w:tcW w:w="1258" w:type="dxa"/>
            <w:vMerge w:val="continue"/>
            <w:noWrap/>
            <w:vAlign w:val="center"/>
          </w:tcPr>
          <w:p w14:paraId="3A28776D">
            <w:pPr>
              <w:spacing w:line="440" w:lineRule="exact"/>
              <w:jc w:val="center"/>
              <w:rPr>
                <w:rFonts w:hint="eastAsia" w:ascii="宋体" w:hAnsi="宋体" w:cs="宋体"/>
                <w:b/>
                <w:bCs/>
                <w:color w:val="auto"/>
                <w:szCs w:val="21"/>
                <w:highlight w:val="none"/>
              </w:rPr>
            </w:pPr>
          </w:p>
        </w:tc>
        <w:tc>
          <w:tcPr>
            <w:tcW w:w="6183" w:type="dxa"/>
            <w:noWrap/>
          </w:tcPr>
          <w:p w14:paraId="14A8C04A">
            <w:pPr>
              <w:spacing w:line="440" w:lineRule="exact"/>
              <w:rPr>
                <w:rFonts w:hint="eastAsia" w:ascii="宋体" w:hAnsi="宋体" w:cs="宋体"/>
                <w:color w:val="auto"/>
                <w:highlight w:val="none"/>
              </w:rPr>
            </w:pPr>
            <w:r>
              <w:rPr>
                <w:rFonts w:hint="eastAsia" w:ascii="宋体" w:hAnsi="宋体" w:cs="宋体"/>
                <w:color w:val="auto"/>
                <w:szCs w:val="21"/>
                <w:highlight w:val="none"/>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1155FC88">
            <w:pPr>
              <w:spacing w:line="440" w:lineRule="exact"/>
              <w:rPr>
                <w:rFonts w:hint="eastAsia" w:ascii="宋体" w:hAnsi="宋体" w:cs="宋体"/>
                <w:color w:val="auto"/>
                <w:szCs w:val="21"/>
                <w:highlight w:val="none"/>
              </w:rPr>
            </w:pPr>
          </w:p>
        </w:tc>
      </w:tr>
    </w:tbl>
    <w:p w14:paraId="71E08F78">
      <w:pPr>
        <w:spacing w:line="44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重要提示：</w:t>
      </w:r>
    </w:p>
    <w:p w14:paraId="195364FD">
      <w:pPr>
        <w:spacing w:line="44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（1）评标专家在检验电子投标文件过程中，如果由于投标人自身原因导致评标专家无法查看并检验电子投标文件中相关资料的，视为无效标处理。即使投标人将原件携带至现场的，同样按无效标处理。</w:t>
      </w:r>
    </w:p>
    <w:p w14:paraId="54826100">
      <w:pPr>
        <w:spacing w:line="44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2）投标人拟委任项目经理为注册建造师（含一级、二级）的，须提供有效的纸质版电子证书。投标人打印纸质电子证书后，应由建造师本人在个人签名栏手写本人签名，或附其本人知情承诺，未手写签名或与签名图片笔迹不一致的，该打印的纸质证书无效（其他省份建造师电子证书执行该省现行政策规定）。投标人应对其提供的纸质版电子证书真实性、有效性负责。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p>
    <w:p w14:paraId="2A5FC824">
      <w:pPr>
        <w:pStyle w:val="7"/>
        <w:spacing w:before="120" w:beforeLines="50" w:after="120" w:afterLines="50"/>
        <w:ind w:firstLine="422" w:firstLineChars="200"/>
        <w:rPr>
          <w:rFonts w:hint="eastAsia" w:ascii="宋体" w:hAnsi="宋体" w:eastAsia="宋体" w:cs="宋体"/>
          <w:color w:val="auto"/>
          <w:highlight w:val="none"/>
        </w:rPr>
      </w:pPr>
      <w:bookmarkStart w:id="727" w:name="_Toc12549"/>
      <w:bookmarkStart w:id="728" w:name="_Toc506107320"/>
      <w:bookmarkStart w:id="729" w:name="_Toc78803377"/>
      <w:bookmarkStart w:id="730" w:name="_Toc35424942"/>
      <w:bookmarkStart w:id="731" w:name="_Toc324404867"/>
      <w:bookmarkStart w:id="732" w:name="_Toc35425108"/>
      <w:bookmarkStart w:id="733" w:name="_Toc15058909"/>
      <w:r>
        <w:rPr>
          <w:rFonts w:hint="eastAsia" w:ascii="宋体" w:hAnsi="宋体" w:eastAsia="宋体" w:cs="宋体"/>
          <w:color w:val="auto"/>
          <w:highlight w:val="none"/>
        </w:rPr>
        <w:t>2.审查办法</w:t>
      </w:r>
      <w:bookmarkEnd w:id="727"/>
      <w:bookmarkEnd w:id="728"/>
      <w:bookmarkEnd w:id="729"/>
      <w:bookmarkEnd w:id="730"/>
      <w:bookmarkEnd w:id="731"/>
      <w:bookmarkEnd w:id="732"/>
      <w:bookmarkEnd w:id="733"/>
    </w:p>
    <w:p w14:paraId="31601EC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4AD2064B">
      <w:pPr>
        <w:pStyle w:val="7"/>
        <w:spacing w:before="120" w:beforeLines="50" w:after="120" w:afterLines="50"/>
        <w:ind w:firstLine="422" w:firstLineChars="200"/>
        <w:rPr>
          <w:rFonts w:hint="eastAsia" w:ascii="宋体" w:hAnsi="宋体" w:eastAsia="宋体" w:cs="宋体"/>
          <w:color w:val="auto"/>
          <w:highlight w:val="none"/>
        </w:rPr>
      </w:pPr>
      <w:bookmarkStart w:id="734" w:name="_Toc324404868"/>
      <w:bookmarkStart w:id="735" w:name="_Toc506107321"/>
      <w:bookmarkStart w:id="736" w:name="_Toc35424943"/>
      <w:bookmarkStart w:id="737" w:name="_Toc35425109"/>
      <w:bookmarkStart w:id="738" w:name="_Toc15626"/>
      <w:bookmarkStart w:id="739" w:name="_Toc15058910"/>
      <w:bookmarkStart w:id="740" w:name="_Toc78803378"/>
      <w:r>
        <w:rPr>
          <w:rFonts w:hint="eastAsia" w:ascii="宋体" w:hAnsi="宋体" w:eastAsia="宋体" w:cs="宋体"/>
          <w:color w:val="auto"/>
          <w:highlight w:val="none"/>
        </w:rPr>
        <w:t>3.资格审查委员会和审查标准</w:t>
      </w:r>
      <w:bookmarkEnd w:id="734"/>
      <w:bookmarkEnd w:id="735"/>
      <w:bookmarkEnd w:id="736"/>
      <w:bookmarkEnd w:id="737"/>
      <w:bookmarkEnd w:id="738"/>
      <w:bookmarkEnd w:id="739"/>
      <w:bookmarkEnd w:id="740"/>
    </w:p>
    <w:p w14:paraId="2D384BB5">
      <w:pPr>
        <w:spacing w:line="440" w:lineRule="exact"/>
        <w:ind w:firstLine="420" w:firstLineChars="200"/>
        <w:jc w:val="left"/>
        <w:rPr>
          <w:rFonts w:hint="eastAsia" w:ascii="宋体" w:hAnsi="宋体" w:cs="宋体"/>
          <w:color w:val="auto"/>
          <w:szCs w:val="21"/>
          <w:highlight w:val="none"/>
        </w:rPr>
      </w:pPr>
      <w:bookmarkStart w:id="741" w:name="_Toc10330"/>
      <w:bookmarkStart w:id="742" w:name="_Toc78803379"/>
      <w:bookmarkStart w:id="743" w:name="_Toc35424944"/>
      <w:bookmarkStart w:id="744" w:name="_Toc324404869"/>
      <w:bookmarkStart w:id="745" w:name="_Toc15058911"/>
      <w:bookmarkStart w:id="746" w:name="_Toc35425110"/>
      <w:bookmarkStart w:id="747" w:name="_Toc506107322"/>
      <w:r>
        <w:rPr>
          <w:rFonts w:hint="eastAsia" w:ascii="宋体" w:hAnsi="宋体" w:cs="宋体"/>
          <w:color w:val="auto"/>
          <w:szCs w:val="21"/>
          <w:highlight w:val="none"/>
        </w:rPr>
        <w:t>3.1资格审查由招标人依法组建的资格审查委员会（或评标委员会）负责。审查标准见资格审查办法前附表。</w:t>
      </w:r>
    </w:p>
    <w:p w14:paraId="33A23F23">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7D6C0F7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（1）未上传电子标书或电子标书经审查不合格；</w:t>
      </w:r>
    </w:p>
    <w:p w14:paraId="2F34EC7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（2）未按招标公告要求提交投标保证金的；</w:t>
      </w:r>
    </w:p>
    <w:p w14:paraId="51E28A3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（3）法律、法规规定的其他情形。</w:t>
      </w:r>
    </w:p>
    <w:p w14:paraId="3A8EBF6B">
      <w:pPr>
        <w:pStyle w:val="7"/>
        <w:spacing w:before="120" w:beforeLines="50" w:after="120" w:afterLines="50"/>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4.审查结果</w:t>
      </w:r>
      <w:bookmarkEnd w:id="741"/>
      <w:bookmarkEnd w:id="742"/>
      <w:bookmarkEnd w:id="743"/>
      <w:bookmarkEnd w:id="744"/>
      <w:bookmarkEnd w:id="745"/>
      <w:bookmarkEnd w:id="746"/>
      <w:bookmarkEnd w:id="747"/>
    </w:p>
    <w:p w14:paraId="7154ACEC">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8" w:name="_Toc506107323"/>
    </w:p>
    <w:p w14:paraId="1B7956F5">
      <w:pPr>
        <w:pStyle w:val="6"/>
        <w:numPr>
          <w:ilvl w:val="0"/>
          <w:numId w:val="3"/>
        </w:numPr>
        <w:spacing w:before="120" w:beforeLines="50" w:after="120" w:afterLines="50"/>
        <w:rPr>
          <w:rFonts w:ascii="Arial" w:hAnsi="Arial"/>
          <w:color w:val="auto"/>
          <w:kern w:val="0"/>
          <w:sz w:val="32"/>
          <w:szCs w:val="32"/>
          <w:highlight w:val="none"/>
        </w:rPr>
      </w:pPr>
      <w:bookmarkStart w:id="749" w:name="_Toc15058912"/>
      <w:bookmarkStart w:id="750" w:name="_Toc35424945"/>
      <w:bookmarkStart w:id="751" w:name="_Toc35425111"/>
      <w:r>
        <w:rPr>
          <w:rFonts w:hint="eastAsia"/>
          <w:color w:val="auto"/>
          <w:highlight w:val="none"/>
        </w:rPr>
        <w:br w:type="page"/>
      </w:r>
      <w:bookmarkStart w:id="752" w:name="_Toc78803380"/>
      <w:r>
        <w:rPr>
          <w:rFonts w:hint="eastAsia" w:ascii="Arial" w:hAnsi="Arial"/>
          <w:color w:val="auto"/>
          <w:kern w:val="0"/>
          <w:sz w:val="32"/>
          <w:szCs w:val="32"/>
          <w:highlight w:val="none"/>
        </w:rPr>
        <w:t xml:space="preserve"> </w:t>
      </w:r>
      <w:bookmarkStart w:id="753" w:name="_Toc1286"/>
      <w:bookmarkStart w:id="754" w:name="_Toc32602"/>
      <w:r>
        <w:rPr>
          <w:rFonts w:hint="eastAsia" w:ascii="Arial" w:hAnsi="Arial"/>
          <w:color w:val="auto"/>
          <w:kern w:val="0"/>
          <w:sz w:val="32"/>
          <w:szCs w:val="32"/>
          <w:highlight w:val="none"/>
        </w:rPr>
        <w:t>评标办法</w:t>
      </w:r>
      <w:bookmarkEnd w:id="607"/>
      <w:bookmarkEnd w:id="748"/>
      <w:bookmarkEnd w:id="749"/>
      <w:bookmarkEnd w:id="750"/>
      <w:bookmarkEnd w:id="751"/>
      <w:bookmarkEnd w:id="752"/>
      <w:bookmarkEnd w:id="753"/>
      <w:bookmarkEnd w:id="754"/>
    </w:p>
    <w:p w14:paraId="5FACD974">
      <w:pPr>
        <w:numPr>
          <w:ilvl w:val="0"/>
          <w:numId w:val="4"/>
        </w:numPr>
        <w:spacing w:line="560" w:lineRule="exact"/>
        <w:ind w:left="0"/>
        <w:jc w:val="center"/>
        <w:rPr>
          <w:b/>
          <w:color w:val="auto"/>
          <w:sz w:val="28"/>
          <w:szCs w:val="21"/>
          <w:highlight w:val="none"/>
        </w:rPr>
      </w:pPr>
      <w:r>
        <w:rPr>
          <w:rFonts w:hint="eastAsia"/>
          <w:b/>
          <w:color w:val="auto"/>
          <w:sz w:val="28"/>
          <w:szCs w:val="21"/>
          <w:highlight w:val="none"/>
        </w:rPr>
        <w:t>中标候选人的确定</w:t>
      </w:r>
    </w:p>
    <w:p w14:paraId="67E81F0F">
      <w:pPr>
        <w:pStyle w:val="2"/>
        <w:spacing w:line="440" w:lineRule="exact"/>
        <w:ind w:left="0" w:leftChars="0" w:firstLine="480"/>
        <w:rPr>
          <w:b/>
          <w:color w:val="auto"/>
          <w:sz w:val="28"/>
          <w:szCs w:val="21"/>
          <w:highlight w:val="none"/>
        </w:rPr>
      </w:pPr>
      <w:r>
        <w:rPr>
          <w:rFonts w:hint="eastAsia"/>
          <w:color w:val="auto"/>
          <w:sz w:val="24"/>
          <w:highlight w:val="none"/>
        </w:rPr>
        <w:t>评标委员会对投标人依次进行资信、技术、商务文件审查，对均满足要求的投标人进行各项评审因素打分，合计的总得分按照从高到低进行排序，总得分第一的投标人为第一中标候选人。如总得分相等，以投标报价低的优先，投标报价仍相等，以资信得分高的优先；如资信得分也相等，由评标委员会主任委员或招标人随机抽取确定排名。</w:t>
      </w:r>
    </w:p>
    <w:p w14:paraId="40E172D9">
      <w:pPr>
        <w:pStyle w:val="2"/>
        <w:adjustRightInd w:val="0"/>
        <w:snapToGrid w:val="0"/>
        <w:spacing w:line="560" w:lineRule="exact"/>
        <w:ind w:left="0" w:leftChars="0" w:firstLine="0" w:firstLineChars="0"/>
        <w:jc w:val="center"/>
        <w:rPr>
          <w:b/>
          <w:color w:val="auto"/>
          <w:sz w:val="36"/>
          <w:highlight w:val="none"/>
        </w:rPr>
      </w:pPr>
      <w:r>
        <w:rPr>
          <w:rFonts w:hint="eastAsia"/>
          <w:b/>
          <w:color w:val="auto"/>
          <w:sz w:val="28"/>
          <w:szCs w:val="21"/>
          <w:highlight w:val="none"/>
        </w:rPr>
        <w:t>（二）资信标评审（20分）</w:t>
      </w:r>
    </w:p>
    <w:tbl>
      <w:tblPr>
        <w:tblStyle w:val="47"/>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343"/>
        <w:gridCol w:w="1246"/>
        <w:gridCol w:w="6658"/>
      </w:tblGrid>
      <w:tr w14:paraId="4E04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63" w:type="dxa"/>
          </w:tcPr>
          <w:p w14:paraId="307A4F72">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343" w:type="dxa"/>
          </w:tcPr>
          <w:p w14:paraId="269DE6FB">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评审因素</w:t>
            </w:r>
          </w:p>
        </w:tc>
        <w:tc>
          <w:tcPr>
            <w:tcW w:w="1246" w:type="dxa"/>
          </w:tcPr>
          <w:p w14:paraId="6F8379BE">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分值设置</w:t>
            </w:r>
          </w:p>
        </w:tc>
        <w:tc>
          <w:tcPr>
            <w:tcW w:w="6658" w:type="dxa"/>
          </w:tcPr>
          <w:p w14:paraId="6D317675">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评审标准</w:t>
            </w:r>
          </w:p>
        </w:tc>
      </w:tr>
      <w:tr w14:paraId="1462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Align w:val="center"/>
          </w:tcPr>
          <w:p w14:paraId="4E4C352D">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343" w:type="dxa"/>
            <w:vAlign w:val="center"/>
          </w:tcPr>
          <w:p w14:paraId="475F19F4">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企业业绩</w:t>
            </w:r>
          </w:p>
        </w:tc>
        <w:tc>
          <w:tcPr>
            <w:tcW w:w="1246" w:type="dxa"/>
            <w:vAlign w:val="center"/>
          </w:tcPr>
          <w:p w14:paraId="1EC64DF9">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10分</w:t>
            </w:r>
          </w:p>
        </w:tc>
        <w:tc>
          <w:tcPr>
            <w:tcW w:w="6658" w:type="dxa"/>
          </w:tcPr>
          <w:p w14:paraId="5B830FF5">
            <w:pPr>
              <w:pStyle w:val="2"/>
              <w:spacing w:line="440" w:lineRule="exact"/>
              <w:ind w:left="0" w:leftChars="0" w:firstLine="0" w:firstLineChars="0"/>
              <w:rPr>
                <w:color w:val="auto"/>
                <w:highlight w:val="none"/>
              </w:rPr>
            </w:pPr>
            <w:r>
              <w:rPr>
                <w:rFonts w:hint="eastAsia" w:hAnsi="宋体"/>
                <w:color w:val="auto"/>
                <w:highlight w:val="none"/>
              </w:rPr>
              <w:t>投标人</w:t>
            </w:r>
            <w:r>
              <w:rPr>
                <w:rFonts w:hint="eastAsia"/>
                <w:color w:val="auto"/>
                <w:highlight w:val="none"/>
              </w:rPr>
              <w:t>自2019年1月1日至投标截止时间，具有</w:t>
            </w:r>
            <w:r>
              <w:rPr>
                <w:rFonts w:hint="eastAsia"/>
                <w:color w:val="auto"/>
                <w:highlight w:val="none"/>
              </w:rPr>
              <w:t>单项合同金额90万元及以上</w:t>
            </w:r>
            <w:r>
              <w:rPr>
                <w:rFonts w:hint="eastAsia"/>
                <w:color w:val="auto"/>
                <w:highlight w:val="none"/>
              </w:rPr>
              <w:t>的</w:t>
            </w:r>
            <w:r>
              <w:rPr>
                <w:rFonts w:hint="eastAsia" w:ascii="Times New Roman"/>
                <w:color w:val="auto"/>
                <w:highlight w:val="none"/>
              </w:rPr>
              <w:t>供配电项目工程业绩，一个</w:t>
            </w:r>
            <w:r>
              <w:rPr>
                <w:rFonts w:hint="eastAsia" w:hAnsi="宋体" w:cs="宋体"/>
                <w:color w:val="auto"/>
                <w:szCs w:val="21"/>
                <w:highlight w:val="none"/>
              </w:rPr>
              <w:t>得5分；</w:t>
            </w:r>
            <w:r>
              <w:rPr>
                <w:rFonts w:hint="eastAsia"/>
                <w:color w:val="auto"/>
                <w:highlight w:val="none"/>
              </w:rPr>
              <w:t xml:space="preserve">本项满分10分； </w:t>
            </w:r>
          </w:p>
          <w:p w14:paraId="3064D9BD">
            <w:pPr>
              <w:widowControl/>
              <w:spacing w:line="440" w:lineRule="exact"/>
              <w:jc w:val="left"/>
              <w:rPr>
                <w:color w:val="auto"/>
                <w:highlight w:val="none"/>
              </w:rPr>
            </w:pPr>
            <w:r>
              <w:rPr>
                <w:rFonts w:hint="eastAsia"/>
                <w:color w:val="auto"/>
                <w:highlight w:val="none"/>
              </w:rPr>
              <w:t>评审核验电子标书中的下述文件、材料（同时提供下列资料原件彩色扫描件）：①施工合同；②竣工验收报告或竣工备案证书或竣工验收备案表或竣工验收证明</w:t>
            </w:r>
            <w:r>
              <w:rPr>
                <w:color w:val="auto"/>
                <w:highlight w:val="none"/>
              </w:rPr>
              <w:t>(</w:t>
            </w:r>
            <w:r>
              <w:rPr>
                <w:rFonts w:hint="eastAsia"/>
                <w:color w:val="auto"/>
                <w:highlight w:val="none"/>
              </w:rPr>
              <w:t>须有签字盖章页、竣工日期明确、相关责任主体盖章齐全，否则不予认可</w:t>
            </w:r>
            <w:r>
              <w:rPr>
                <w:color w:val="auto"/>
                <w:highlight w:val="none"/>
              </w:rPr>
              <w:t>)</w:t>
            </w:r>
            <w:r>
              <w:rPr>
                <w:rFonts w:hint="eastAsia"/>
                <w:color w:val="auto"/>
                <w:highlight w:val="none"/>
              </w:rPr>
              <w:t>；否则所提供的业绩不予认可。二者缺一不可。如以上证明材料无法反映出业绩相关信息，可以另外提供业主材料加盖公章，格式自拟。</w:t>
            </w:r>
          </w:p>
          <w:p w14:paraId="64C8D6BD">
            <w:pPr>
              <w:widowControl/>
              <w:spacing w:line="440" w:lineRule="exact"/>
              <w:jc w:val="left"/>
              <w:rPr>
                <w:color w:val="auto"/>
                <w:highlight w:val="none"/>
              </w:rPr>
            </w:pPr>
            <w:r>
              <w:rPr>
                <w:rFonts w:hint="eastAsia"/>
                <w:color w:val="auto"/>
                <w:highlight w:val="none"/>
              </w:rPr>
              <w:t xml:space="preserve">注：①业绩有效时间及金额以竣工验收报告或竣工备案证书或竣工验收备案表或竣工验收证明为准。 </w:t>
            </w:r>
          </w:p>
          <w:p w14:paraId="7AC55521">
            <w:pPr>
              <w:pStyle w:val="42"/>
              <w:spacing w:beforeAutospacing="0" w:afterAutospacing="0" w:line="440" w:lineRule="exact"/>
              <w:rPr>
                <w:rFonts w:ascii="Times New Roman" w:hAnsi="Times New Roman" w:cs="Times New Roman"/>
                <w:color w:val="auto"/>
                <w:kern w:val="2"/>
                <w:sz w:val="21"/>
                <w:highlight w:val="none"/>
              </w:rPr>
            </w:pPr>
            <w:r>
              <w:rPr>
                <w:rFonts w:hint="eastAsia" w:ascii="Times New Roman" w:hAnsi="Times New Roman" w:cs="Times New Roman"/>
                <w:color w:val="auto"/>
                <w:kern w:val="2"/>
                <w:sz w:val="21"/>
                <w:highlight w:val="none"/>
              </w:rPr>
              <w:t>②投标人分公司业绩予以认可</w:t>
            </w:r>
            <w:r>
              <w:rPr>
                <w:rFonts w:hint="eastAsia" w:cs="Times New Roman"/>
                <w:color w:val="auto"/>
                <w:kern w:val="2"/>
                <w:sz w:val="21"/>
                <w:highlight w:val="none"/>
              </w:rPr>
              <w:t>。</w:t>
            </w:r>
          </w:p>
          <w:p w14:paraId="78A55336">
            <w:pPr>
              <w:pStyle w:val="42"/>
              <w:spacing w:beforeAutospacing="0" w:afterAutospacing="0" w:line="440" w:lineRule="exact"/>
              <w:rPr>
                <w:rFonts w:hint="eastAsia"/>
                <w:color w:val="auto"/>
                <w:highlight w:val="none"/>
              </w:rPr>
            </w:pPr>
            <w:r>
              <w:rPr>
                <w:rFonts w:hint="eastAsia" w:ascii="Times New Roman" w:hAnsi="Times New Roman" w:cs="Times New Roman"/>
                <w:color w:val="auto"/>
                <w:kern w:val="2"/>
                <w:sz w:val="21"/>
                <w:highlight w:val="none"/>
              </w:rPr>
              <w:t>③</w:t>
            </w:r>
            <w:r>
              <w:rPr>
                <w:rFonts w:hint="eastAsia"/>
                <w:color w:val="auto"/>
                <w:sz w:val="21"/>
                <w:szCs w:val="21"/>
                <w:highlight w:val="none"/>
                <w:lang w:bidi="ar"/>
              </w:rPr>
              <w:t>相关证书、证明材料等扫描件上传，检验电子标书，未上传或经评审不符合要求的，不得分。</w:t>
            </w:r>
          </w:p>
        </w:tc>
      </w:tr>
      <w:tr w14:paraId="22E5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Align w:val="center"/>
          </w:tcPr>
          <w:p w14:paraId="2A982E15">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343" w:type="dxa"/>
            <w:vAlign w:val="center"/>
          </w:tcPr>
          <w:p w14:paraId="75B2C2A7">
            <w:pPr>
              <w:adjustRightInd w:val="0"/>
              <w:snapToGrid w:val="0"/>
              <w:spacing w:line="5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项目人员配置</w:t>
            </w:r>
          </w:p>
        </w:tc>
        <w:tc>
          <w:tcPr>
            <w:tcW w:w="1246" w:type="dxa"/>
            <w:vAlign w:val="center"/>
          </w:tcPr>
          <w:p w14:paraId="34F9B8DF">
            <w:pPr>
              <w:adjustRightInd w:val="0"/>
              <w:snapToGrid w:val="0"/>
              <w:spacing w:line="560" w:lineRule="exact"/>
              <w:jc w:val="center"/>
              <w:rPr>
                <w:rFonts w:hint="eastAsia" w:ascii="宋体" w:hAnsi="宋体" w:cs="宋体"/>
                <w:color w:val="auto"/>
                <w:szCs w:val="21"/>
                <w:highlight w:val="none"/>
              </w:rPr>
            </w:pPr>
            <w:r>
              <w:rPr>
                <w:rFonts w:hint="eastAsia"/>
                <w:color w:val="auto"/>
                <w:highlight w:val="none"/>
              </w:rPr>
              <w:t>6分</w:t>
            </w:r>
          </w:p>
        </w:tc>
        <w:tc>
          <w:tcPr>
            <w:tcW w:w="6658" w:type="dxa"/>
          </w:tcPr>
          <w:p w14:paraId="75A276F5">
            <w:pPr>
              <w:widowControl/>
              <w:adjustRightInd w:val="0"/>
              <w:snapToGrid w:val="0"/>
              <w:spacing w:line="440" w:lineRule="exact"/>
              <w:rPr>
                <w:color w:val="auto"/>
                <w:highlight w:val="none"/>
              </w:rPr>
            </w:pPr>
            <w:r>
              <w:rPr>
                <w:rFonts w:hint="eastAsia"/>
                <w:color w:val="auto"/>
                <w:highlight w:val="none"/>
                <w:lang w:eastAsia="zh-CN"/>
              </w:rPr>
              <w:t>人员配置（</w:t>
            </w:r>
            <w:r>
              <w:rPr>
                <w:rFonts w:hint="eastAsia"/>
                <w:color w:val="auto"/>
                <w:highlight w:val="none"/>
                <w:lang w:val="en-US" w:eastAsia="zh-CN"/>
              </w:rPr>
              <w:t>含项目经理</w:t>
            </w:r>
            <w:r>
              <w:rPr>
                <w:rFonts w:hint="eastAsia"/>
                <w:color w:val="auto"/>
                <w:highlight w:val="none"/>
                <w:lang w:eastAsia="zh-CN"/>
              </w:rPr>
              <w:t>）</w:t>
            </w:r>
            <w:r>
              <w:rPr>
                <w:rFonts w:hint="eastAsia"/>
                <w:color w:val="auto"/>
                <w:highlight w:val="none"/>
              </w:rPr>
              <w:t>中：</w:t>
            </w:r>
          </w:p>
          <w:p w14:paraId="38BCBEB6">
            <w:pPr>
              <w:widowControl/>
              <w:adjustRightInd w:val="0"/>
              <w:snapToGrid w:val="0"/>
              <w:spacing w:line="440" w:lineRule="exact"/>
              <w:rPr>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机电类专业建造师不少于</w:t>
            </w:r>
            <w:r>
              <w:rPr>
                <w:rFonts w:hint="eastAsia"/>
                <w:color w:val="auto"/>
                <w:highlight w:val="none"/>
                <w:lang w:val="en-US" w:eastAsia="zh-CN"/>
              </w:rPr>
              <w:t>1</w:t>
            </w:r>
            <w:r>
              <w:rPr>
                <w:rFonts w:hint="eastAsia"/>
                <w:color w:val="auto"/>
                <w:highlight w:val="none"/>
              </w:rPr>
              <w:t>人得2分；</w:t>
            </w:r>
          </w:p>
          <w:p w14:paraId="08432FAD">
            <w:pPr>
              <w:widowControl/>
              <w:adjustRightInd w:val="0"/>
              <w:snapToGrid w:val="0"/>
              <w:spacing w:line="440" w:lineRule="exact"/>
              <w:rPr>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施工人员具有持有电工进网许可证（不少于5人）得</w:t>
            </w:r>
            <w:r>
              <w:rPr>
                <w:rFonts w:hint="eastAsia"/>
                <w:color w:val="auto"/>
                <w:highlight w:val="none"/>
                <w:lang w:val="en-US" w:eastAsia="zh-CN"/>
              </w:rPr>
              <w:t>2</w:t>
            </w:r>
            <w:r>
              <w:rPr>
                <w:rFonts w:hint="eastAsia"/>
                <w:color w:val="auto"/>
                <w:highlight w:val="none"/>
              </w:rPr>
              <w:t>分；</w:t>
            </w:r>
          </w:p>
          <w:p w14:paraId="0B349FC9">
            <w:pPr>
              <w:pStyle w:val="2"/>
              <w:spacing w:line="440" w:lineRule="exact"/>
              <w:ind w:left="0" w:leftChars="0" w:firstLine="0" w:firstLineChars="0"/>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具有专业线路试验专业人员</w:t>
            </w:r>
            <w:r>
              <w:rPr>
                <w:rFonts w:hint="eastAsia"/>
                <w:color w:val="auto"/>
                <w:highlight w:val="none"/>
                <w:lang w:val="en-US" w:eastAsia="zh-CN"/>
              </w:rPr>
              <w:t>证书</w:t>
            </w:r>
            <w:r>
              <w:rPr>
                <w:rFonts w:hint="eastAsia"/>
                <w:color w:val="auto"/>
                <w:highlight w:val="none"/>
              </w:rPr>
              <w:t>得</w:t>
            </w:r>
            <w:r>
              <w:rPr>
                <w:rFonts w:hint="eastAsia"/>
                <w:color w:val="auto"/>
                <w:highlight w:val="none"/>
                <w:lang w:val="en-US" w:eastAsia="zh-CN"/>
              </w:rPr>
              <w:t>2</w:t>
            </w:r>
            <w:r>
              <w:rPr>
                <w:rFonts w:hint="eastAsia"/>
                <w:color w:val="auto"/>
                <w:highlight w:val="none"/>
              </w:rPr>
              <w:t>分</w:t>
            </w:r>
            <w:r>
              <w:rPr>
                <w:rFonts w:hint="eastAsia"/>
                <w:color w:val="auto"/>
                <w:highlight w:val="none"/>
                <w:lang w:eastAsia="zh-CN"/>
              </w:rPr>
              <w:t>；</w:t>
            </w:r>
          </w:p>
          <w:p w14:paraId="225323F0">
            <w:pPr>
              <w:widowControl/>
              <w:adjustRightInd w:val="0"/>
              <w:snapToGrid w:val="0"/>
              <w:spacing w:line="440" w:lineRule="exact"/>
              <w:rPr>
                <w:rFonts w:hint="eastAsia" w:ascii="宋体" w:hAnsi="宋体" w:cs="宋体"/>
                <w:b/>
                <w:bCs/>
                <w:color w:val="auto"/>
                <w:szCs w:val="21"/>
                <w:highlight w:val="none"/>
              </w:rPr>
            </w:pPr>
            <w:r>
              <w:rPr>
                <w:rFonts w:hint="eastAsia"/>
                <w:color w:val="auto"/>
                <w:highlight w:val="none"/>
              </w:rPr>
              <w:t>备注：</w:t>
            </w:r>
            <w:r>
              <w:rPr>
                <w:rFonts w:hint="eastAsia"/>
                <w:color w:val="auto"/>
                <w:highlight w:val="none"/>
              </w:rPr>
              <w:t>以上人员具有多个证书的，仅计一次得分，不重复计分</w:t>
            </w:r>
            <w:r>
              <w:rPr>
                <w:rFonts w:hint="eastAsia"/>
                <w:color w:val="auto"/>
                <w:highlight w:val="none"/>
              </w:rPr>
              <w:t>，需提供相关人员的证书或注册资格证书扫描件，否则不得分。</w:t>
            </w:r>
          </w:p>
        </w:tc>
      </w:tr>
      <w:tr w14:paraId="1D5A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3" w:type="dxa"/>
            <w:vAlign w:val="center"/>
          </w:tcPr>
          <w:p w14:paraId="011B3330">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343" w:type="dxa"/>
            <w:vAlign w:val="center"/>
          </w:tcPr>
          <w:p w14:paraId="78019393">
            <w:pPr>
              <w:adjustRightInd w:val="0"/>
              <w:snapToGrid w:val="0"/>
              <w:spacing w:line="560" w:lineRule="exact"/>
              <w:jc w:val="center"/>
              <w:rPr>
                <w:color w:val="auto"/>
                <w:highlight w:val="none"/>
              </w:rPr>
            </w:pPr>
            <w:r>
              <w:rPr>
                <w:rFonts w:hint="eastAsia"/>
                <w:color w:val="auto"/>
                <w:highlight w:val="none"/>
              </w:rPr>
              <w:t>免费质保</w:t>
            </w:r>
          </w:p>
        </w:tc>
        <w:tc>
          <w:tcPr>
            <w:tcW w:w="1246" w:type="dxa"/>
            <w:vAlign w:val="center"/>
          </w:tcPr>
          <w:p w14:paraId="0095F004">
            <w:pPr>
              <w:adjustRightInd w:val="0"/>
              <w:snapToGrid w:val="0"/>
              <w:spacing w:line="560" w:lineRule="exact"/>
              <w:jc w:val="center"/>
              <w:rPr>
                <w:color w:val="auto"/>
                <w:highlight w:val="none"/>
              </w:rPr>
            </w:pPr>
            <w:r>
              <w:rPr>
                <w:rFonts w:hint="eastAsia"/>
                <w:color w:val="auto"/>
                <w:highlight w:val="none"/>
              </w:rPr>
              <w:t>4分</w:t>
            </w:r>
          </w:p>
        </w:tc>
        <w:tc>
          <w:tcPr>
            <w:tcW w:w="6658" w:type="dxa"/>
            <w:vAlign w:val="center"/>
          </w:tcPr>
          <w:p w14:paraId="7C623652">
            <w:pPr>
              <w:adjustRightInd w:val="0"/>
              <w:snapToGrid w:val="0"/>
              <w:spacing w:line="440" w:lineRule="exact"/>
              <w:rPr>
                <w:rFonts w:hint="eastAsia" w:ascii="宋体" w:hAnsi="宋体"/>
                <w:color w:val="auto"/>
                <w:szCs w:val="21"/>
                <w:highlight w:val="none"/>
              </w:rPr>
            </w:pPr>
            <w:r>
              <w:rPr>
                <w:rFonts w:hint="eastAsia" w:ascii="宋体" w:hAnsi="宋体"/>
                <w:color w:val="auto"/>
                <w:szCs w:val="21"/>
                <w:highlight w:val="none"/>
              </w:rPr>
              <w:t>本项目的质保期为一年，在满足此条件的基础上每增加一年加2分，满分4分。投标人自行承诺，格式自拟。</w:t>
            </w:r>
          </w:p>
        </w:tc>
      </w:tr>
    </w:tbl>
    <w:p w14:paraId="40B68E59">
      <w:pPr>
        <w:pStyle w:val="2"/>
        <w:adjustRightInd w:val="0"/>
        <w:snapToGrid w:val="0"/>
        <w:spacing w:line="560" w:lineRule="exact"/>
        <w:ind w:left="0" w:leftChars="0" w:firstLine="0" w:firstLineChars="0"/>
        <w:rPr>
          <w:b/>
          <w:color w:val="auto"/>
          <w:sz w:val="28"/>
          <w:szCs w:val="21"/>
          <w:highlight w:val="none"/>
        </w:rPr>
      </w:pPr>
      <w:r>
        <w:rPr>
          <w:rFonts w:hint="eastAsia" w:hAnsi="宋体" w:cs="宋体"/>
          <w:color w:val="auto"/>
          <w:kern w:val="0"/>
          <w:szCs w:val="21"/>
          <w:highlight w:val="none"/>
          <w:lang w:bidi="ar"/>
        </w:rPr>
        <w:t>备注：提供的项目业绩只计算评标分值对应的项目数量，按照排列顺序从首个业绩开始评审至对应数量，超出部分不进行评审。对应数量内业绩不符合招标文件要求不得分的，不再补充评审超出部分业绩。如：提供2个业绩即得满分的，按照投标文件排序评审第一、第二项业绩，其余超出部分不再评审”。</w:t>
      </w:r>
    </w:p>
    <w:p w14:paraId="214E2BC7">
      <w:pPr>
        <w:pStyle w:val="28"/>
        <w:numPr>
          <w:ilvl w:val="0"/>
          <w:numId w:val="0"/>
        </w:numPr>
        <w:spacing w:before="72" w:beforeLines="30" w:after="72" w:afterLines="30" w:line="440" w:lineRule="exact"/>
        <w:jc w:val="both"/>
        <w:rPr>
          <w:rFonts w:hint="eastAsia"/>
          <w:b/>
          <w:color w:val="auto"/>
          <w:highlight w:val="none"/>
          <w:lang w:val="en-US" w:eastAsia="zh-CN"/>
        </w:rPr>
      </w:pPr>
    </w:p>
    <w:p w14:paraId="158C92D0">
      <w:pPr>
        <w:pStyle w:val="28"/>
        <w:numPr>
          <w:ilvl w:val="0"/>
          <w:numId w:val="0"/>
        </w:numPr>
        <w:spacing w:before="72" w:beforeLines="30" w:after="72" w:afterLines="30" w:line="440" w:lineRule="exact"/>
        <w:jc w:val="center"/>
        <w:rPr>
          <w:b/>
          <w:color w:val="auto"/>
          <w:highlight w:val="none"/>
        </w:rPr>
      </w:pPr>
      <w:r>
        <w:rPr>
          <w:rFonts w:hint="eastAsia"/>
          <w:b/>
          <w:color w:val="auto"/>
          <w:highlight w:val="none"/>
          <w:lang w:val="en-US" w:eastAsia="zh-CN"/>
        </w:rPr>
        <w:t>(三)</w:t>
      </w:r>
      <w:r>
        <w:rPr>
          <w:rFonts w:hint="eastAsia"/>
          <w:b/>
          <w:color w:val="auto"/>
          <w:highlight w:val="none"/>
        </w:rPr>
        <w:t>技术标评审</w:t>
      </w:r>
    </w:p>
    <w:tbl>
      <w:tblPr>
        <w:tblStyle w:val="47"/>
        <w:tblW w:w="10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221"/>
        <w:gridCol w:w="730"/>
        <w:gridCol w:w="545"/>
        <w:gridCol w:w="2135"/>
        <w:gridCol w:w="4475"/>
      </w:tblGrid>
      <w:tr w14:paraId="0A74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129" w:type="dxa"/>
            <w:gridSpan w:val="2"/>
            <w:tcBorders>
              <w:top w:val="single" w:color="auto" w:sz="4" w:space="0"/>
              <w:left w:val="single" w:color="auto" w:sz="4" w:space="0"/>
              <w:bottom w:val="single" w:color="auto" w:sz="4" w:space="0"/>
              <w:right w:val="single" w:color="auto" w:sz="4" w:space="0"/>
            </w:tcBorders>
            <w:noWrap w:val="0"/>
            <w:vAlign w:val="center"/>
          </w:tcPr>
          <w:p w14:paraId="5BD028D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条款号</w:t>
            </w:r>
          </w:p>
        </w:tc>
        <w:tc>
          <w:tcPr>
            <w:tcW w:w="3410" w:type="dxa"/>
            <w:gridSpan w:val="3"/>
            <w:tcBorders>
              <w:top w:val="single" w:color="auto" w:sz="4" w:space="0"/>
              <w:left w:val="nil"/>
              <w:bottom w:val="single" w:color="auto" w:sz="4" w:space="0"/>
              <w:right w:val="single" w:color="auto" w:sz="4" w:space="0"/>
            </w:tcBorders>
            <w:noWrap w:val="0"/>
            <w:vAlign w:val="center"/>
          </w:tcPr>
          <w:p w14:paraId="5623A08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评审因素</w:t>
            </w:r>
          </w:p>
        </w:tc>
        <w:tc>
          <w:tcPr>
            <w:tcW w:w="4475" w:type="dxa"/>
            <w:tcBorders>
              <w:top w:val="single" w:color="auto" w:sz="4" w:space="0"/>
              <w:left w:val="nil"/>
              <w:bottom w:val="single" w:color="auto" w:sz="4" w:space="0"/>
              <w:right w:val="single" w:color="auto" w:sz="4" w:space="0"/>
            </w:tcBorders>
            <w:noWrap w:val="0"/>
            <w:vAlign w:val="center"/>
          </w:tcPr>
          <w:p w14:paraId="3774C08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评审标准</w:t>
            </w:r>
          </w:p>
        </w:tc>
      </w:tr>
      <w:tr w14:paraId="21B4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restart"/>
            <w:tcBorders>
              <w:top w:val="nil"/>
              <w:left w:val="single" w:color="auto" w:sz="4" w:space="0"/>
              <w:bottom w:val="single" w:color="auto" w:sz="4" w:space="0"/>
              <w:right w:val="single" w:color="auto" w:sz="4" w:space="0"/>
            </w:tcBorders>
            <w:noWrap w:val="0"/>
            <w:vAlign w:val="center"/>
          </w:tcPr>
          <w:p w14:paraId="5C22ADA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4.1.1</w:t>
            </w:r>
          </w:p>
        </w:tc>
        <w:tc>
          <w:tcPr>
            <w:tcW w:w="1221" w:type="dxa"/>
            <w:vMerge w:val="restart"/>
            <w:tcBorders>
              <w:top w:val="nil"/>
              <w:left w:val="nil"/>
              <w:bottom w:val="single" w:color="auto" w:sz="4" w:space="0"/>
              <w:right w:val="single" w:color="auto" w:sz="4" w:space="0"/>
            </w:tcBorders>
            <w:noWrap w:val="0"/>
            <w:vAlign w:val="center"/>
          </w:tcPr>
          <w:p w14:paraId="2E3A7F4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形式评审标准</w:t>
            </w:r>
          </w:p>
        </w:tc>
        <w:tc>
          <w:tcPr>
            <w:tcW w:w="3410" w:type="dxa"/>
            <w:gridSpan w:val="3"/>
            <w:tcBorders>
              <w:top w:val="single" w:color="auto" w:sz="4" w:space="0"/>
              <w:left w:val="nil"/>
              <w:bottom w:val="single" w:color="auto" w:sz="4" w:space="0"/>
              <w:right w:val="single" w:color="auto" w:sz="4" w:space="0"/>
            </w:tcBorders>
            <w:noWrap w:val="0"/>
            <w:vAlign w:val="center"/>
          </w:tcPr>
          <w:p w14:paraId="40B24CCC">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eastAsia="宋体"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投标人名称</w:t>
            </w:r>
          </w:p>
        </w:tc>
        <w:tc>
          <w:tcPr>
            <w:tcW w:w="4475" w:type="dxa"/>
            <w:tcBorders>
              <w:top w:val="single" w:color="auto" w:sz="4" w:space="0"/>
              <w:left w:val="nil"/>
              <w:bottom w:val="single" w:color="auto" w:sz="4" w:space="0"/>
              <w:right w:val="single" w:color="auto" w:sz="4" w:space="0"/>
            </w:tcBorders>
            <w:noWrap w:val="0"/>
            <w:vAlign w:val="center"/>
          </w:tcPr>
          <w:p w14:paraId="4A4EE9F0">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eastAsia="宋体"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与营业执照、资质证书、安全生产许可证一致。</w:t>
            </w:r>
          </w:p>
        </w:tc>
      </w:tr>
      <w:tr w14:paraId="047B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750DCDE1">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6295FF56">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3410" w:type="dxa"/>
            <w:gridSpan w:val="3"/>
            <w:tcBorders>
              <w:top w:val="single" w:color="auto" w:sz="4" w:space="0"/>
              <w:left w:val="nil"/>
              <w:bottom w:val="single" w:color="auto" w:sz="4" w:space="0"/>
              <w:right w:val="single" w:color="auto" w:sz="4" w:space="0"/>
            </w:tcBorders>
            <w:noWrap w:val="0"/>
            <w:vAlign w:val="center"/>
          </w:tcPr>
          <w:p w14:paraId="6C4E6BA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投标文件格式</w:t>
            </w:r>
          </w:p>
        </w:tc>
        <w:tc>
          <w:tcPr>
            <w:tcW w:w="4475" w:type="dxa"/>
            <w:tcBorders>
              <w:top w:val="single" w:color="auto" w:sz="4" w:space="0"/>
              <w:left w:val="nil"/>
              <w:bottom w:val="single" w:color="auto" w:sz="4" w:space="0"/>
              <w:right w:val="single" w:color="auto" w:sz="4" w:space="0"/>
            </w:tcBorders>
            <w:noWrap w:val="0"/>
            <w:vAlign w:val="center"/>
          </w:tcPr>
          <w:p w14:paraId="10946D7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符合第七章“投标文件格式”的要求，</w:t>
            </w:r>
          </w:p>
          <w:p w14:paraId="66B99A0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b/>
                <w:bCs w:val="0"/>
                <w:color w:val="auto"/>
                <w:spacing w:val="-6"/>
                <w:kern w:val="2"/>
                <w:sz w:val="21"/>
                <w:szCs w:val="21"/>
                <w:highlight w:val="none"/>
              </w:rPr>
            </w:pPr>
            <w:r>
              <w:rPr>
                <w:rFonts w:hint="eastAsia" w:ascii="宋体" w:hAnsi="宋体" w:eastAsia="宋体" w:cs="宋体"/>
                <w:color w:val="auto"/>
                <w:kern w:val="2"/>
                <w:sz w:val="21"/>
                <w:szCs w:val="21"/>
                <w:highlight w:val="none"/>
                <w:lang w:val="en-US" w:eastAsia="zh-CN" w:bidi="ar"/>
              </w:rPr>
              <w:t>否则经评委会一致认定后,按照无效投标处理。</w:t>
            </w:r>
          </w:p>
        </w:tc>
      </w:tr>
      <w:tr w14:paraId="035A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restart"/>
            <w:tcBorders>
              <w:top w:val="nil"/>
              <w:left w:val="single" w:color="auto" w:sz="4" w:space="0"/>
              <w:bottom w:val="single" w:color="auto" w:sz="4" w:space="0"/>
              <w:right w:val="single" w:color="auto" w:sz="4" w:space="0"/>
            </w:tcBorders>
            <w:noWrap w:val="0"/>
            <w:vAlign w:val="center"/>
          </w:tcPr>
          <w:p w14:paraId="2233E43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4.1.2</w:t>
            </w:r>
          </w:p>
        </w:tc>
        <w:tc>
          <w:tcPr>
            <w:tcW w:w="1221" w:type="dxa"/>
            <w:vMerge w:val="restart"/>
            <w:tcBorders>
              <w:top w:val="nil"/>
              <w:left w:val="nil"/>
              <w:bottom w:val="single" w:color="auto" w:sz="4" w:space="0"/>
              <w:right w:val="single" w:color="auto" w:sz="4" w:space="0"/>
            </w:tcBorders>
            <w:noWrap w:val="0"/>
            <w:vAlign w:val="center"/>
          </w:tcPr>
          <w:p w14:paraId="2965052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响应性评审标准（初步评审）</w:t>
            </w:r>
          </w:p>
        </w:tc>
        <w:tc>
          <w:tcPr>
            <w:tcW w:w="3410" w:type="dxa"/>
            <w:gridSpan w:val="3"/>
            <w:tcBorders>
              <w:top w:val="single" w:color="auto" w:sz="4" w:space="0"/>
              <w:left w:val="nil"/>
              <w:bottom w:val="single" w:color="auto" w:sz="4" w:space="0"/>
              <w:right w:val="single" w:color="auto" w:sz="4" w:space="0"/>
            </w:tcBorders>
            <w:noWrap w:val="0"/>
            <w:vAlign w:val="center"/>
          </w:tcPr>
          <w:p w14:paraId="1FDDC040">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eastAsia="宋体"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投标内容</w:t>
            </w:r>
          </w:p>
        </w:tc>
        <w:tc>
          <w:tcPr>
            <w:tcW w:w="4475" w:type="dxa"/>
            <w:tcBorders>
              <w:top w:val="single" w:color="auto" w:sz="4" w:space="0"/>
              <w:left w:val="nil"/>
              <w:bottom w:val="single" w:color="auto" w:sz="4" w:space="0"/>
              <w:right w:val="single" w:color="auto" w:sz="4" w:space="0"/>
            </w:tcBorders>
            <w:noWrap w:val="0"/>
            <w:vAlign w:val="center"/>
          </w:tcPr>
          <w:p w14:paraId="0C5D411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符合第一章“投标人须知”规定。</w:t>
            </w:r>
          </w:p>
        </w:tc>
      </w:tr>
      <w:tr w14:paraId="5FA0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4D05E0B5">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6A958AFD">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3410" w:type="dxa"/>
            <w:gridSpan w:val="3"/>
            <w:tcBorders>
              <w:top w:val="single" w:color="auto" w:sz="4" w:space="0"/>
              <w:left w:val="nil"/>
              <w:bottom w:val="single" w:color="auto" w:sz="4" w:space="0"/>
              <w:right w:val="single" w:color="auto" w:sz="4" w:space="0"/>
            </w:tcBorders>
            <w:noWrap w:val="0"/>
            <w:vAlign w:val="center"/>
          </w:tcPr>
          <w:p w14:paraId="41F6261A">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eastAsia="宋体"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工期</w:t>
            </w:r>
          </w:p>
        </w:tc>
        <w:tc>
          <w:tcPr>
            <w:tcW w:w="4475" w:type="dxa"/>
            <w:tcBorders>
              <w:top w:val="single" w:color="auto" w:sz="4" w:space="0"/>
              <w:left w:val="nil"/>
              <w:bottom w:val="single" w:color="auto" w:sz="4" w:space="0"/>
              <w:right w:val="single" w:color="auto" w:sz="4" w:space="0"/>
            </w:tcBorders>
            <w:noWrap w:val="0"/>
            <w:vAlign w:val="center"/>
          </w:tcPr>
          <w:p w14:paraId="138B9B0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符合第一章“投标人须知”规定。</w:t>
            </w:r>
          </w:p>
        </w:tc>
      </w:tr>
      <w:tr w14:paraId="3B02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0921C868">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0E484251">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3410" w:type="dxa"/>
            <w:gridSpan w:val="3"/>
            <w:tcBorders>
              <w:top w:val="single" w:color="auto" w:sz="4" w:space="0"/>
              <w:left w:val="nil"/>
              <w:bottom w:val="single" w:color="auto" w:sz="4" w:space="0"/>
              <w:right w:val="single" w:color="auto" w:sz="4" w:space="0"/>
            </w:tcBorders>
            <w:noWrap w:val="0"/>
            <w:vAlign w:val="center"/>
          </w:tcPr>
          <w:p w14:paraId="099D13C8">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eastAsia="宋体" w:cs="Times New Roman"/>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权利义务</w:t>
            </w:r>
          </w:p>
        </w:tc>
        <w:tc>
          <w:tcPr>
            <w:tcW w:w="4475" w:type="dxa"/>
            <w:tcBorders>
              <w:top w:val="single" w:color="auto" w:sz="4" w:space="0"/>
              <w:left w:val="nil"/>
              <w:bottom w:val="single" w:color="auto" w:sz="4" w:space="0"/>
              <w:right w:val="single" w:color="auto" w:sz="4" w:space="0"/>
            </w:tcBorders>
            <w:noWrap w:val="0"/>
            <w:vAlign w:val="center"/>
          </w:tcPr>
          <w:p w14:paraId="4F599D1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符合第四章“合同条款及格式”规定。</w:t>
            </w:r>
          </w:p>
        </w:tc>
      </w:tr>
      <w:tr w14:paraId="719B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5A006C54">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221" w:type="dxa"/>
            <w:vMerge w:val="restart"/>
            <w:tcBorders>
              <w:top w:val="nil"/>
              <w:left w:val="nil"/>
              <w:bottom w:val="single" w:color="auto" w:sz="4" w:space="0"/>
              <w:right w:val="single" w:color="auto" w:sz="4" w:space="0"/>
            </w:tcBorders>
            <w:noWrap w:val="0"/>
            <w:vAlign w:val="center"/>
          </w:tcPr>
          <w:p w14:paraId="6A2FC8C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响应性评审标准（符合性评审）</w:t>
            </w:r>
          </w:p>
        </w:tc>
        <w:tc>
          <w:tcPr>
            <w:tcW w:w="730" w:type="dxa"/>
            <w:vMerge w:val="restart"/>
            <w:tcBorders>
              <w:top w:val="nil"/>
              <w:left w:val="nil"/>
              <w:bottom w:val="single" w:color="auto" w:sz="4" w:space="0"/>
              <w:right w:val="single" w:color="auto" w:sz="4" w:space="0"/>
            </w:tcBorders>
            <w:noWrap w:val="0"/>
            <w:vAlign w:val="center"/>
          </w:tcPr>
          <w:p w14:paraId="01CE95D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689C137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17746858">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0F177AFE">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p w14:paraId="5AF66A73">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p>
          <w:p w14:paraId="70ABD0E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施工组织设计</w:t>
            </w:r>
          </w:p>
        </w:tc>
        <w:tc>
          <w:tcPr>
            <w:tcW w:w="545" w:type="dxa"/>
            <w:tcBorders>
              <w:top w:val="single" w:color="auto" w:sz="4" w:space="0"/>
              <w:left w:val="nil"/>
              <w:bottom w:val="single" w:color="auto" w:sz="4" w:space="0"/>
              <w:right w:val="single" w:color="auto" w:sz="4" w:space="0"/>
            </w:tcBorders>
            <w:noWrap w:val="0"/>
            <w:vAlign w:val="center"/>
          </w:tcPr>
          <w:p w14:paraId="2815648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2135" w:type="dxa"/>
            <w:tcBorders>
              <w:top w:val="single" w:color="auto" w:sz="4" w:space="0"/>
              <w:left w:val="nil"/>
              <w:bottom w:val="single" w:color="auto" w:sz="4" w:space="0"/>
              <w:right w:val="single" w:color="auto" w:sz="4" w:space="0"/>
            </w:tcBorders>
            <w:noWrap w:val="0"/>
            <w:vAlign w:val="center"/>
          </w:tcPr>
          <w:p w14:paraId="3AC3FD8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工程概况</w:t>
            </w:r>
          </w:p>
        </w:tc>
        <w:tc>
          <w:tcPr>
            <w:tcW w:w="4475" w:type="dxa"/>
            <w:tcBorders>
              <w:top w:val="single" w:color="auto" w:sz="4" w:space="0"/>
              <w:left w:val="nil"/>
              <w:bottom w:val="single" w:color="auto" w:sz="4" w:space="0"/>
              <w:right w:val="single" w:color="auto" w:sz="4" w:space="0"/>
            </w:tcBorders>
            <w:noWrap w:val="0"/>
            <w:vAlign w:val="center"/>
          </w:tcPr>
          <w:p w14:paraId="478D508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描述是否准确。</w:t>
            </w:r>
          </w:p>
        </w:tc>
      </w:tr>
      <w:tr w14:paraId="6810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70F0875E">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33B6206F">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6C530321">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3077947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2135" w:type="dxa"/>
            <w:tcBorders>
              <w:top w:val="single" w:color="auto" w:sz="4" w:space="0"/>
              <w:left w:val="nil"/>
              <w:bottom w:val="single" w:color="auto" w:sz="4" w:space="0"/>
              <w:right w:val="single" w:color="auto" w:sz="4" w:space="0"/>
            </w:tcBorders>
            <w:noWrap w:val="0"/>
            <w:vAlign w:val="center"/>
          </w:tcPr>
          <w:p w14:paraId="06F998C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主要施工方法</w:t>
            </w:r>
          </w:p>
        </w:tc>
        <w:tc>
          <w:tcPr>
            <w:tcW w:w="4475" w:type="dxa"/>
            <w:tcBorders>
              <w:top w:val="single" w:color="auto" w:sz="4" w:space="0"/>
              <w:left w:val="nil"/>
              <w:bottom w:val="single" w:color="auto" w:sz="4" w:space="0"/>
              <w:right w:val="single" w:color="auto" w:sz="4" w:space="0"/>
            </w:tcBorders>
            <w:noWrap w:val="0"/>
            <w:vAlign w:val="center"/>
          </w:tcPr>
          <w:p w14:paraId="080D1A9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各主要分部施工方法符合项目实际，须有详尽的施工技术方案，工艺先进、方法科学合理、可行，能指导具体施工并确保安全。</w:t>
            </w:r>
          </w:p>
        </w:tc>
      </w:tr>
      <w:tr w14:paraId="0371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22EBDEA1">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0200D56F">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29FD07BB">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5CF84397">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2135" w:type="dxa"/>
            <w:tcBorders>
              <w:top w:val="single" w:color="auto" w:sz="4" w:space="0"/>
              <w:left w:val="nil"/>
              <w:bottom w:val="single" w:color="auto" w:sz="4" w:space="0"/>
              <w:right w:val="single" w:color="auto" w:sz="4" w:space="0"/>
            </w:tcBorders>
            <w:noWrap w:val="0"/>
            <w:vAlign w:val="center"/>
          </w:tcPr>
          <w:p w14:paraId="7E0177A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拟投入的主要物资计划</w:t>
            </w:r>
          </w:p>
        </w:tc>
        <w:tc>
          <w:tcPr>
            <w:tcW w:w="4475" w:type="dxa"/>
            <w:tcBorders>
              <w:top w:val="single" w:color="auto" w:sz="4" w:space="0"/>
              <w:left w:val="nil"/>
              <w:bottom w:val="single" w:color="auto" w:sz="4" w:space="0"/>
              <w:right w:val="single" w:color="auto" w:sz="4" w:space="0"/>
            </w:tcBorders>
            <w:noWrap w:val="0"/>
            <w:vAlign w:val="center"/>
          </w:tcPr>
          <w:p w14:paraId="00EA613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投入的施工材料有详细计划且计划周密，数量、选型配置、进场数量、时间安排合理，满足施工需要。</w:t>
            </w:r>
          </w:p>
        </w:tc>
      </w:tr>
      <w:tr w14:paraId="78EF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36969B59">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78BA43AE">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37247877">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74F6E09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2135" w:type="dxa"/>
            <w:tcBorders>
              <w:top w:val="single" w:color="auto" w:sz="4" w:space="0"/>
              <w:left w:val="nil"/>
              <w:bottom w:val="single" w:color="auto" w:sz="4" w:space="0"/>
              <w:right w:val="single" w:color="auto" w:sz="4" w:space="0"/>
            </w:tcBorders>
            <w:noWrap w:val="0"/>
            <w:vAlign w:val="center"/>
          </w:tcPr>
          <w:p w14:paraId="42F5CE9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拟投入的主要施工机械、设备计划</w:t>
            </w:r>
          </w:p>
        </w:tc>
        <w:tc>
          <w:tcPr>
            <w:tcW w:w="4475" w:type="dxa"/>
            <w:tcBorders>
              <w:top w:val="single" w:color="auto" w:sz="4" w:space="0"/>
              <w:left w:val="nil"/>
              <w:bottom w:val="single" w:color="auto" w:sz="4" w:space="0"/>
              <w:right w:val="single" w:color="auto" w:sz="4" w:space="0"/>
            </w:tcBorders>
            <w:noWrap w:val="0"/>
            <w:vAlign w:val="center"/>
          </w:tcPr>
          <w:p w14:paraId="6EC16B1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投入的施工机械、设备、机具有详细计划且计划周密，设备数量、选型配置、进场数量、时间 合理、满足施工需要。</w:t>
            </w:r>
          </w:p>
        </w:tc>
      </w:tr>
      <w:tr w14:paraId="6A2C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353ECEC7">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5F6D8C4C">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258F333E">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0431EE5E">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2135" w:type="dxa"/>
            <w:tcBorders>
              <w:top w:val="single" w:color="auto" w:sz="4" w:space="0"/>
              <w:left w:val="nil"/>
              <w:bottom w:val="single" w:color="auto" w:sz="4" w:space="0"/>
              <w:right w:val="single" w:color="auto" w:sz="4" w:space="0"/>
            </w:tcBorders>
            <w:noWrap w:val="0"/>
            <w:vAlign w:val="center"/>
          </w:tcPr>
          <w:p w14:paraId="24662B92">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劳动力安排计划</w:t>
            </w:r>
          </w:p>
        </w:tc>
        <w:tc>
          <w:tcPr>
            <w:tcW w:w="4475" w:type="dxa"/>
            <w:tcBorders>
              <w:top w:val="single" w:color="auto" w:sz="4" w:space="0"/>
              <w:left w:val="nil"/>
              <w:bottom w:val="single" w:color="auto" w:sz="4" w:space="0"/>
              <w:right w:val="single" w:color="auto" w:sz="4" w:space="0"/>
            </w:tcBorders>
            <w:noWrap w:val="0"/>
            <w:vAlign w:val="center"/>
          </w:tcPr>
          <w:p w14:paraId="013A07E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各主要施工工序应有详细周密的劳动力安排计划明细，有各工种劳动力安排计划。劳动力投入经济合理，满足施工需要。</w:t>
            </w:r>
          </w:p>
        </w:tc>
      </w:tr>
      <w:tr w14:paraId="70B5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24D34E92">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7F43C05E">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12B49560">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530D049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2135" w:type="dxa"/>
            <w:tcBorders>
              <w:top w:val="single" w:color="auto" w:sz="4" w:space="0"/>
              <w:left w:val="nil"/>
              <w:bottom w:val="single" w:color="auto" w:sz="4" w:space="0"/>
              <w:right w:val="single" w:color="auto" w:sz="4" w:space="0"/>
            </w:tcBorders>
            <w:noWrap w:val="0"/>
            <w:vAlign w:val="center"/>
          </w:tcPr>
          <w:p w14:paraId="1601786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确保工程质量的技术组织措施</w:t>
            </w:r>
          </w:p>
        </w:tc>
        <w:tc>
          <w:tcPr>
            <w:tcW w:w="4475" w:type="dxa"/>
            <w:tcBorders>
              <w:top w:val="single" w:color="auto" w:sz="4" w:space="0"/>
              <w:left w:val="nil"/>
              <w:bottom w:val="single" w:color="auto" w:sz="4" w:space="0"/>
              <w:right w:val="single" w:color="auto" w:sz="4" w:space="0"/>
            </w:tcBorders>
            <w:noWrap w:val="0"/>
            <w:vAlign w:val="center"/>
          </w:tcPr>
          <w:p w14:paraId="2D65DAC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施工项目应有专门的质量技术管理班子和制度，且人员配备合理，制度健全，主要工序应有质量技术保证措施和手段，自控体系完整，能有效的保证技术质量，达到承诺的质量标准。</w:t>
            </w:r>
          </w:p>
        </w:tc>
      </w:tr>
      <w:tr w14:paraId="55DD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79284C2A">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54FCCCCF">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775001C0">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3BEFD38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w:t>
            </w:r>
          </w:p>
        </w:tc>
        <w:tc>
          <w:tcPr>
            <w:tcW w:w="2135" w:type="dxa"/>
            <w:tcBorders>
              <w:top w:val="single" w:color="auto" w:sz="4" w:space="0"/>
              <w:left w:val="nil"/>
              <w:bottom w:val="single" w:color="auto" w:sz="4" w:space="0"/>
              <w:right w:val="single" w:color="auto" w:sz="4" w:space="0"/>
            </w:tcBorders>
            <w:noWrap w:val="0"/>
            <w:vAlign w:val="center"/>
          </w:tcPr>
          <w:p w14:paraId="33EAFC7E">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确保安全生产的技术组织措施</w:t>
            </w:r>
          </w:p>
        </w:tc>
        <w:tc>
          <w:tcPr>
            <w:tcW w:w="4475" w:type="dxa"/>
            <w:tcBorders>
              <w:top w:val="single" w:color="auto" w:sz="4" w:space="0"/>
              <w:left w:val="nil"/>
              <w:bottom w:val="single" w:color="auto" w:sz="4" w:space="0"/>
              <w:right w:val="single" w:color="auto" w:sz="4" w:space="0"/>
            </w:tcBorders>
            <w:noWrap w:val="0"/>
            <w:vAlign w:val="center"/>
          </w:tcPr>
          <w:p w14:paraId="49FEEC1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施工项目应有专门的安全管理人员和制度，且人员配备合理，制度健全，各道工序安全技术措施针对性强，符合实际且满足有关安全技术标准要求。现场防火、社会治安安全措施得力。</w:t>
            </w:r>
          </w:p>
        </w:tc>
      </w:tr>
      <w:tr w14:paraId="17B8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1FDFAF97">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71F276D6">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71927560">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59FB709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2135" w:type="dxa"/>
            <w:tcBorders>
              <w:top w:val="single" w:color="auto" w:sz="4" w:space="0"/>
              <w:left w:val="nil"/>
              <w:bottom w:val="single" w:color="auto" w:sz="4" w:space="0"/>
              <w:right w:val="single" w:color="auto" w:sz="4" w:space="0"/>
            </w:tcBorders>
            <w:noWrap w:val="0"/>
            <w:vAlign w:val="center"/>
          </w:tcPr>
          <w:p w14:paraId="7CBDF20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确保工期的技术组织措施</w:t>
            </w:r>
          </w:p>
        </w:tc>
        <w:tc>
          <w:tcPr>
            <w:tcW w:w="4475" w:type="dxa"/>
            <w:tcBorders>
              <w:top w:val="single" w:color="auto" w:sz="4" w:space="0"/>
              <w:left w:val="nil"/>
              <w:bottom w:val="single" w:color="auto" w:sz="4" w:space="0"/>
              <w:right w:val="single" w:color="auto" w:sz="4" w:space="0"/>
            </w:tcBorders>
            <w:noWrap w:val="0"/>
            <w:vAlign w:val="center"/>
          </w:tcPr>
          <w:p w14:paraId="1DBD4BC3">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r>
      <w:tr w14:paraId="6BB9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0E5990A2">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0B3BF1A3">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4085AAB1">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0E628A84">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w:t>
            </w:r>
          </w:p>
        </w:tc>
        <w:tc>
          <w:tcPr>
            <w:tcW w:w="2135" w:type="dxa"/>
            <w:tcBorders>
              <w:top w:val="single" w:color="auto" w:sz="4" w:space="0"/>
              <w:left w:val="nil"/>
              <w:bottom w:val="single" w:color="auto" w:sz="4" w:space="0"/>
              <w:right w:val="single" w:color="auto" w:sz="4" w:space="0"/>
            </w:tcBorders>
            <w:noWrap w:val="0"/>
            <w:vAlign w:val="center"/>
          </w:tcPr>
          <w:p w14:paraId="15CE1A54">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确保文明施工的技术组织措施</w:t>
            </w:r>
          </w:p>
        </w:tc>
        <w:tc>
          <w:tcPr>
            <w:tcW w:w="4475" w:type="dxa"/>
            <w:tcBorders>
              <w:top w:val="single" w:color="auto" w:sz="4" w:space="0"/>
              <w:left w:val="nil"/>
              <w:bottom w:val="single" w:color="auto" w:sz="4" w:space="0"/>
              <w:right w:val="single" w:color="auto" w:sz="4" w:space="0"/>
            </w:tcBorders>
            <w:noWrap w:val="0"/>
            <w:vAlign w:val="center"/>
          </w:tcPr>
          <w:p w14:paraId="32E16A9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针对本工程特点，应有现场文明施工计划，环境保护措施，且计划措施内容应达到“安全文明示范工地”标准。各项措施周全、具体、有效。有具体实现现场文明施工目标的承诺。</w:t>
            </w:r>
          </w:p>
        </w:tc>
      </w:tr>
      <w:tr w14:paraId="74E9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2FEE1829">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2EC2EC94">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5502650F">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660ED7A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2135" w:type="dxa"/>
            <w:tcBorders>
              <w:top w:val="single" w:color="auto" w:sz="4" w:space="0"/>
              <w:left w:val="nil"/>
              <w:bottom w:val="single" w:color="auto" w:sz="4" w:space="0"/>
              <w:right w:val="single" w:color="auto" w:sz="4" w:space="0"/>
            </w:tcBorders>
            <w:noWrap w:val="0"/>
            <w:vAlign w:val="center"/>
          </w:tcPr>
          <w:p w14:paraId="6AB62B9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工程施工重点和难点及保证措施</w:t>
            </w:r>
          </w:p>
        </w:tc>
        <w:tc>
          <w:tcPr>
            <w:tcW w:w="4475" w:type="dxa"/>
            <w:tcBorders>
              <w:top w:val="single" w:color="auto" w:sz="4" w:space="0"/>
              <w:left w:val="nil"/>
              <w:bottom w:val="single" w:color="auto" w:sz="4" w:space="0"/>
              <w:right w:val="single" w:color="auto" w:sz="4" w:space="0"/>
            </w:tcBorders>
            <w:noWrap w:val="0"/>
            <w:vAlign w:val="center"/>
          </w:tcPr>
          <w:p w14:paraId="40DA4D6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是否正确（本条内容须与前附表要求对应）。</w:t>
            </w:r>
          </w:p>
        </w:tc>
      </w:tr>
      <w:tr w14:paraId="5C62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62B12DBC">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2FF4CB72">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314E4E92">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4DE0613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w:t>
            </w:r>
          </w:p>
        </w:tc>
        <w:tc>
          <w:tcPr>
            <w:tcW w:w="2135" w:type="dxa"/>
            <w:tcBorders>
              <w:top w:val="single" w:color="auto" w:sz="4" w:space="0"/>
              <w:left w:val="nil"/>
              <w:bottom w:val="single" w:color="auto" w:sz="4" w:space="0"/>
              <w:right w:val="single" w:color="auto" w:sz="4" w:space="0"/>
            </w:tcBorders>
            <w:noWrap w:val="0"/>
            <w:vAlign w:val="center"/>
          </w:tcPr>
          <w:p w14:paraId="0B00594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危大工程安全管理（如有）</w:t>
            </w:r>
          </w:p>
        </w:tc>
        <w:tc>
          <w:tcPr>
            <w:tcW w:w="4475" w:type="dxa"/>
            <w:tcBorders>
              <w:top w:val="single" w:color="auto" w:sz="4" w:space="0"/>
              <w:left w:val="nil"/>
              <w:bottom w:val="single" w:color="auto" w:sz="4" w:space="0"/>
              <w:right w:val="single" w:color="auto" w:sz="4" w:space="0"/>
            </w:tcBorders>
            <w:noWrap w:val="0"/>
            <w:vAlign w:val="top"/>
          </w:tcPr>
          <w:p w14:paraId="70F547A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根据招标人在招标文件中列明的危大工程清单及结合招标项目实际情况补充完善危大工程清单，编制专项施工方案并明确相应的安全管理措施。</w:t>
            </w:r>
          </w:p>
        </w:tc>
      </w:tr>
      <w:tr w14:paraId="2979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00AE7693">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2F8A13C3">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36607363">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2C9A71D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w:t>
            </w:r>
          </w:p>
        </w:tc>
        <w:tc>
          <w:tcPr>
            <w:tcW w:w="2135" w:type="dxa"/>
            <w:tcBorders>
              <w:top w:val="single" w:color="auto" w:sz="4" w:space="0"/>
              <w:left w:val="nil"/>
              <w:bottom w:val="single" w:color="auto" w:sz="4" w:space="0"/>
              <w:right w:val="single" w:color="auto" w:sz="4" w:space="0"/>
            </w:tcBorders>
            <w:noWrap w:val="0"/>
            <w:vAlign w:val="center"/>
          </w:tcPr>
          <w:p w14:paraId="2E49ECB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施工总平面布置图</w:t>
            </w:r>
          </w:p>
        </w:tc>
        <w:tc>
          <w:tcPr>
            <w:tcW w:w="4475" w:type="dxa"/>
            <w:tcBorders>
              <w:top w:val="single" w:color="auto" w:sz="4" w:space="0"/>
              <w:left w:val="nil"/>
              <w:bottom w:val="single" w:color="auto" w:sz="4" w:space="0"/>
              <w:right w:val="single" w:color="auto" w:sz="4" w:space="0"/>
            </w:tcBorders>
            <w:noWrap w:val="0"/>
            <w:vAlign w:val="center"/>
          </w:tcPr>
          <w:p w14:paraId="0F98887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应有施工总平面布置图，安排科学合理，符合本项目施工实际要求。</w:t>
            </w:r>
          </w:p>
        </w:tc>
      </w:tr>
      <w:tr w14:paraId="791B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4124709D">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4A8DCAFB">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54BFBAD0">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0F22C1C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w:t>
            </w:r>
          </w:p>
        </w:tc>
        <w:tc>
          <w:tcPr>
            <w:tcW w:w="2135" w:type="dxa"/>
            <w:tcBorders>
              <w:top w:val="single" w:color="auto" w:sz="4" w:space="0"/>
              <w:left w:val="nil"/>
              <w:bottom w:val="single" w:color="auto" w:sz="4" w:space="0"/>
              <w:right w:val="single" w:color="auto" w:sz="4" w:space="0"/>
            </w:tcBorders>
            <w:noWrap w:val="0"/>
            <w:vAlign w:val="center"/>
          </w:tcPr>
          <w:p w14:paraId="4EEB049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施工组织设计整体</w:t>
            </w:r>
          </w:p>
        </w:tc>
        <w:tc>
          <w:tcPr>
            <w:tcW w:w="4475" w:type="dxa"/>
            <w:tcBorders>
              <w:top w:val="single" w:color="auto" w:sz="4" w:space="0"/>
              <w:left w:val="nil"/>
              <w:bottom w:val="single" w:color="auto" w:sz="4" w:space="0"/>
              <w:right w:val="single" w:color="auto" w:sz="4" w:space="0"/>
            </w:tcBorders>
            <w:noWrap w:val="0"/>
            <w:vAlign w:val="center"/>
          </w:tcPr>
          <w:p w14:paraId="1211C6B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针对性、完整性符合要求。</w:t>
            </w:r>
          </w:p>
        </w:tc>
      </w:tr>
      <w:tr w14:paraId="4320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5808C3A8">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1F66942B">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6E54C1CD">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07DE44A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w:t>
            </w:r>
          </w:p>
        </w:tc>
        <w:tc>
          <w:tcPr>
            <w:tcW w:w="2135" w:type="dxa"/>
            <w:tcBorders>
              <w:top w:val="single" w:color="auto" w:sz="4" w:space="0"/>
              <w:left w:val="nil"/>
              <w:bottom w:val="single" w:color="auto" w:sz="4" w:space="0"/>
              <w:right w:val="single" w:color="auto" w:sz="4" w:space="0"/>
            </w:tcBorders>
            <w:noWrap w:val="0"/>
            <w:vAlign w:val="center"/>
          </w:tcPr>
          <w:p w14:paraId="141A1684">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其他内容（如有）</w:t>
            </w:r>
          </w:p>
        </w:tc>
        <w:tc>
          <w:tcPr>
            <w:tcW w:w="4475" w:type="dxa"/>
            <w:tcBorders>
              <w:top w:val="single" w:color="auto" w:sz="4" w:space="0"/>
              <w:left w:val="nil"/>
              <w:bottom w:val="single" w:color="auto" w:sz="4" w:space="0"/>
              <w:right w:val="single" w:color="auto" w:sz="4" w:space="0"/>
            </w:tcBorders>
            <w:noWrap w:val="0"/>
            <w:vAlign w:val="center"/>
          </w:tcPr>
          <w:p w14:paraId="1B854D0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p>
        </w:tc>
      </w:tr>
    </w:tbl>
    <w:p w14:paraId="2FA3EBED">
      <w:pPr>
        <w:pStyle w:val="28"/>
        <w:spacing w:before="72" w:beforeLines="30" w:after="72" w:afterLines="30" w:line="440" w:lineRule="exact"/>
        <w:ind w:firstLine="0" w:firstLineChars="0"/>
        <w:jc w:val="both"/>
        <w:rPr>
          <w:b/>
          <w:color w:val="auto"/>
          <w:sz w:val="28"/>
          <w:szCs w:val="21"/>
          <w:highlight w:val="none"/>
        </w:rPr>
      </w:pPr>
    </w:p>
    <w:p w14:paraId="168C4C23">
      <w:pPr>
        <w:pStyle w:val="28"/>
        <w:spacing w:before="72" w:beforeLines="30" w:after="72" w:afterLines="30" w:line="440" w:lineRule="exact"/>
        <w:ind w:left="420" w:leftChars="200" w:firstLine="0" w:firstLineChars="0"/>
        <w:jc w:val="center"/>
        <w:rPr>
          <w:b/>
          <w:color w:val="auto"/>
          <w:highlight w:val="none"/>
        </w:rPr>
      </w:pPr>
      <w:r>
        <w:rPr>
          <w:rFonts w:hint="eastAsia"/>
          <w:b/>
          <w:color w:val="auto"/>
          <w:highlight w:val="none"/>
        </w:rPr>
        <w:t>（</w:t>
      </w:r>
      <w:r>
        <w:rPr>
          <w:rFonts w:hint="eastAsia"/>
          <w:b/>
          <w:color w:val="auto"/>
          <w:highlight w:val="none"/>
          <w:lang w:eastAsia="zh-CN"/>
        </w:rPr>
        <w:t>四</w:t>
      </w:r>
      <w:r>
        <w:rPr>
          <w:rFonts w:hint="eastAsia"/>
          <w:b/>
          <w:color w:val="auto"/>
          <w:highlight w:val="none"/>
        </w:rPr>
        <w:t>）商务标评审（</w:t>
      </w:r>
      <w:r>
        <w:rPr>
          <w:rFonts w:hint="eastAsia"/>
          <w:b/>
          <w:color w:val="auto"/>
          <w:highlight w:val="none"/>
          <w:lang w:val="en-US" w:eastAsia="zh-CN"/>
        </w:rPr>
        <w:t>80</w:t>
      </w:r>
      <w:r>
        <w:rPr>
          <w:rFonts w:hint="eastAsia"/>
          <w:b/>
          <w:color w:val="auto"/>
          <w:highlight w:val="none"/>
        </w:rPr>
        <w:t>分）</w:t>
      </w: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136"/>
        <w:gridCol w:w="905"/>
        <w:gridCol w:w="1645"/>
        <w:gridCol w:w="5581"/>
      </w:tblGrid>
      <w:tr w14:paraId="1529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60" w:type="dxa"/>
            <w:gridSpan w:val="2"/>
            <w:tcBorders>
              <w:top w:val="single" w:color="auto" w:sz="4" w:space="0"/>
              <w:left w:val="single" w:color="auto" w:sz="4" w:space="0"/>
              <w:bottom w:val="single" w:color="auto" w:sz="4" w:space="0"/>
              <w:right w:val="single" w:color="auto" w:sz="4" w:space="0"/>
            </w:tcBorders>
            <w:vAlign w:val="center"/>
          </w:tcPr>
          <w:p w14:paraId="1512E554">
            <w:pPr>
              <w:spacing w:line="440" w:lineRule="exact"/>
              <w:jc w:val="center"/>
              <w:rPr>
                <w:rFonts w:hint="eastAsia" w:ascii="宋体" w:hAnsi="宋体" w:cs="宋体"/>
                <w:b/>
                <w:color w:val="auto"/>
                <w:szCs w:val="21"/>
                <w:highlight w:val="none"/>
              </w:rPr>
            </w:pPr>
            <w:bookmarkStart w:id="755" w:name="_Toc179632607"/>
            <w:bookmarkStart w:id="756" w:name="_Toc152042366"/>
            <w:bookmarkStart w:id="757" w:name="_Toc78803381"/>
            <w:bookmarkStart w:id="758" w:name="_Toc247085747"/>
            <w:bookmarkStart w:id="759" w:name="_Toc35425113"/>
            <w:bookmarkStart w:id="760" w:name="_Toc152045589"/>
            <w:bookmarkStart w:id="761" w:name="_Toc6491"/>
            <w:bookmarkStart w:id="762" w:name="_Toc35424947"/>
            <w:bookmarkStart w:id="763" w:name="_Toc324404872"/>
            <w:bookmarkStart w:id="764" w:name="_Toc15058913"/>
            <w:bookmarkStart w:id="765" w:name="_Toc506107324"/>
            <w:bookmarkStart w:id="766" w:name="_Toc246996975"/>
            <w:bookmarkStart w:id="767" w:name="_Toc144974556"/>
            <w:bookmarkStart w:id="768" w:name="_Toc246996232"/>
            <w:r>
              <w:rPr>
                <w:rFonts w:hint="eastAsia" w:ascii="宋体" w:hAnsi="宋体" w:cs="宋体"/>
                <w:b/>
                <w:color w:val="auto"/>
                <w:szCs w:val="21"/>
                <w:highlight w:val="none"/>
                <w:lang w:bidi="ar"/>
              </w:rPr>
              <w:t>条款号</w:t>
            </w:r>
          </w:p>
        </w:tc>
        <w:tc>
          <w:tcPr>
            <w:tcW w:w="2550" w:type="dxa"/>
            <w:gridSpan w:val="2"/>
            <w:tcBorders>
              <w:top w:val="single" w:color="auto" w:sz="4" w:space="0"/>
              <w:left w:val="nil"/>
              <w:bottom w:val="single" w:color="auto" w:sz="4" w:space="0"/>
              <w:right w:val="single" w:color="auto" w:sz="4" w:space="0"/>
            </w:tcBorders>
            <w:vAlign w:val="center"/>
          </w:tcPr>
          <w:p w14:paraId="1EC509C3">
            <w:pPr>
              <w:spacing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lang w:bidi="ar"/>
              </w:rPr>
              <w:t>评审因素</w:t>
            </w:r>
          </w:p>
        </w:tc>
        <w:tc>
          <w:tcPr>
            <w:tcW w:w="5581" w:type="dxa"/>
            <w:tcBorders>
              <w:top w:val="single" w:color="auto" w:sz="4" w:space="0"/>
              <w:left w:val="nil"/>
              <w:bottom w:val="single" w:color="auto" w:sz="4" w:space="0"/>
              <w:right w:val="single" w:color="auto" w:sz="4" w:space="0"/>
            </w:tcBorders>
            <w:vAlign w:val="center"/>
          </w:tcPr>
          <w:p w14:paraId="4078138A">
            <w:pPr>
              <w:spacing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lang w:bidi="ar"/>
              </w:rPr>
              <w:t>评审标准</w:t>
            </w:r>
          </w:p>
        </w:tc>
      </w:tr>
      <w:tr w14:paraId="043C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4" w:type="dxa"/>
            <w:vMerge w:val="restart"/>
            <w:tcBorders>
              <w:top w:val="nil"/>
              <w:left w:val="single" w:color="auto" w:sz="4" w:space="0"/>
              <w:bottom w:val="single" w:color="auto" w:sz="4" w:space="0"/>
              <w:right w:val="single" w:color="auto" w:sz="4" w:space="0"/>
            </w:tcBorders>
            <w:vAlign w:val="center"/>
          </w:tcPr>
          <w:p w14:paraId="48358BC7">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1</w:t>
            </w:r>
          </w:p>
        </w:tc>
        <w:tc>
          <w:tcPr>
            <w:tcW w:w="1136" w:type="dxa"/>
            <w:vMerge w:val="restart"/>
            <w:tcBorders>
              <w:top w:val="nil"/>
              <w:left w:val="nil"/>
              <w:bottom w:val="single" w:color="auto" w:sz="4" w:space="0"/>
              <w:right w:val="single" w:color="auto" w:sz="4" w:space="0"/>
            </w:tcBorders>
            <w:vAlign w:val="center"/>
          </w:tcPr>
          <w:p w14:paraId="38CCD9C9">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形式评审标准</w:t>
            </w:r>
          </w:p>
        </w:tc>
        <w:tc>
          <w:tcPr>
            <w:tcW w:w="2550" w:type="dxa"/>
            <w:gridSpan w:val="2"/>
            <w:tcBorders>
              <w:top w:val="single" w:color="auto" w:sz="4" w:space="0"/>
              <w:left w:val="nil"/>
              <w:bottom w:val="single" w:color="auto" w:sz="4" w:space="0"/>
              <w:right w:val="single" w:color="auto" w:sz="4" w:space="0"/>
            </w:tcBorders>
            <w:vAlign w:val="center"/>
          </w:tcPr>
          <w:p w14:paraId="4AB5AB84">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投标函签字盖章</w:t>
            </w:r>
          </w:p>
        </w:tc>
        <w:tc>
          <w:tcPr>
            <w:tcW w:w="5581" w:type="dxa"/>
            <w:tcBorders>
              <w:top w:val="single" w:color="auto" w:sz="4" w:space="0"/>
              <w:left w:val="nil"/>
              <w:bottom w:val="single" w:color="auto" w:sz="4" w:space="0"/>
              <w:right w:val="single" w:color="auto" w:sz="4" w:space="0"/>
            </w:tcBorders>
          </w:tcPr>
          <w:p w14:paraId="29FE0AB5">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有法定代表人或其委托代理人签字或盖章，并加盖单位公章</w:t>
            </w:r>
          </w:p>
          <w:p w14:paraId="479E7075">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否则经评委会一致认定后并经综合监管部门同意后，按照无效投标处理。</w:t>
            </w:r>
          </w:p>
        </w:tc>
      </w:tr>
      <w:tr w14:paraId="65C9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3C72FFF7">
            <w:pPr>
              <w:rPr>
                <w:color w:val="auto"/>
                <w:sz w:val="20"/>
                <w:szCs w:val="20"/>
                <w:highlight w:val="none"/>
              </w:rPr>
            </w:pPr>
          </w:p>
        </w:tc>
        <w:tc>
          <w:tcPr>
            <w:tcW w:w="1136" w:type="dxa"/>
            <w:vMerge w:val="continue"/>
            <w:tcBorders>
              <w:top w:val="nil"/>
              <w:left w:val="nil"/>
              <w:bottom w:val="single" w:color="auto" w:sz="4" w:space="0"/>
              <w:right w:val="single" w:color="auto" w:sz="4" w:space="0"/>
            </w:tcBorders>
            <w:vAlign w:val="center"/>
          </w:tcPr>
          <w:p w14:paraId="2FB05CCE">
            <w:pPr>
              <w:rPr>
                <w:color w:val="auto"/>
                <w:sz w:val="20"/>
                <w:szCs w:val="20"/>
                <w:highlight w:val="none"/>
              </w:rPr>
            </w:pPr>
          </w:p>
        </w:tc>
        <w:tc>
          <w:tcPr>
            <w:tcW w:w="2550" w:type="dxa"/>
            <w:gridSpan w:val="2"/>
            <w:tcBorders>
              <w:top w:val="single" w:color="auto" w:sz="4" w:space="0"/>
              <w:left w:val="nil"/>
              <w:bottom w:val="single" w:color="auto" w:sz="4" w:space="0"/>
              <w:right w:val="single" w:color="auto" w:sz="4" w:space="0"/>
            </w:tcBorders>
            <w:vAlign w:val="center"/>
          </w:tcPr>
          <w:p w14:paraId="332B51D2">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投标文件格式</w:t>
            </w:r>
          </w:p>
        </w:tc>
        <w:tc>
          <w:tcPr>
            <w:tcW w:w="5581" w:type="dxa"/>
            <w:tcBorders>
              <w:top w:val="single" w:color="auto" w:sz="4" w:space="0"/>
              <w:left w:val="nil"/>
              <w:bottom w:val="single" w:color="auto" w:sz="4" w:space="0"/>
              <w:right w:val="single" w:color="auto" w:sz="4" w:space="0"/>
            </w:tcBorders>
          </w:tcPr>
          <w:p w14:paraId="7208F6B2">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符合第</w:t>
            </w:r>
            <w:r>
              <w:rPr>
                <w:rFonts w:hint="eastAsia" w:ascii="宋体" w:hAnsi="宋体" w:cs="宋体"/>
                <w:color w:val="auto"/>
                <w:szCs w:val="21"/>
                <w:highlight w:val="none"/>
                <w:lang w:val="en-US" w:eastAsia="zh-CN" w:bidi="ar"/>
              </w:rPr>
              <w:t>七</w:t>
            </w:r>
            <w:r>
              <w:rPr>
                <w:rFonts w:hint="eastAsia" w:ascii="宋体" w:hAnsi="宋体" w:cs="宋体"/>
                <w:color w:val="auto"/>
                <w:szCs w:val="21"/>
                <w:highlight w:val="none"/>
                <w:lang w:bidi="ar"/>
              </w:rPr>
              <w:t>章“投标文件格式”的要求</w:t>
            </w:r>
          </w:p>
        </w:tc>
      </w:tr>
      <w:tr w14:paraId="6D9E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671971FE">
            <w:pPr>
              <w:rPr>
                <w:color w:val="auto"/>
                <w:sz w:val="20"/>
                <w:szCs w:val="20"/>
                <w:highlight w:val="none"/>
              </w:rPr>
            </w:pPr>
          </w:p>
        </w:tc>
        <w:tc>
          <w:tcPr>
            <w:tcW w:w="1136" w:type="dxa"/>
            <w:vMerge w:val="continue"/>
            <w:tcBorders>
              <w:top w:val="nil"/>
              <w:left w:val="nil"/>
              <w:bottom w:val="single" w:color="auto" w:sz="4" w:space="0"/>
              <w:right w:val="single" w:color="auto" w:sz="4" w:space="0"/>
            </w:tcBorders>
            <w:vAlign w:val="center"/>
          </w:tcPr>
          <w:p w14:paraId="218B1A48">
            <w:pPr>
              <w:rPr>
                <w:color w:val="auto"/>
                <w:sz w:val="20"/>
                <w:szCs w:val="20"/>
                <w:highlight w:val="none"/>
              </w:rPr>
            </w:pPr>
          </w:p>
        </w:tc>
        <w:tc>
          <w:tcPr>
            <w:tcW w:w="2550" w:type="dxa"/>
            <w:gridSpan w:val="2"/>
            <w:tcBorders>
              <w:top w:val="single" w:color="auto" w:sz="4" w:space="0"/>
              <w:left w:val="nil"/>
              <w:bottom w:val="single" w:color="auto" w:sz="4" w:space="0"/>
              <w:right w:val="single" w:color="auto" w:sz="4" w:space="0"/>
            </w:tcBorders>
            <w:vAlign w:val="center"/>
          </w:tcPr>
          <w:p w14:paraId="58C10D5D">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报价唯一</w:t>
            </w:r>
          </w:p>
        </w:tc>
        <w:tc>
          <w:tcPr>
            <w:tcW w:w="5581" w:type="dxa"/>
            <w:tcBorders>
              <w:top w:val="single" w:color="auto" w:sz="4" w:space="0"/>
              <w:left w:val="nil"/>
              <w:bottom w:val="single" w:color="auto" w:sz="4" w:space="0"/>
              <w:right w:val="single" w:color="auto" w:sz="4" w:space="0"/>
            </w:tcBorders>
          </w:tcPr>
          <w:p w14:paraId="1D7F44C0">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只能有一个报价</w:t>
            </w:r>
          </w:p>
        </w:tc>
      </w:tr>
      <w:tr w14:paraId="2E84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restart"/>
            <w:tcBorders>
              <w:top w:val="nil"/>
              <w:left w:val="single" w:color="auto" w:sz="4" w:space="0"/>
              <w:bottom w:val="single" w:color="auto" w:sz="4" w:space="0"/>
              <w:right w:val="single" w:color="auto" w:sz="4" w:space="0"/>
            </w:tcBorders>
            <w:vAlign w:val="center"/>
          </w:tcPr>
          <w:p w14:paraId="7947FB9A">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2</w:t>
            </w:r>
          </w:p>
        </w:tc>
        <w:tc>
          <w:tcPr>
            <w:tcW w:w="1136" w:type="dxa"/>
            <w:vMerge w:val="restart"/>
            <w:tcBorders>
              <w:top w:val="nil"/>
              <w:left w:val="nil"/>
              <w:bottom w:val="single" w:color="auto" w:sz="4" w:space="0"/>
              <w:right w:val="single" w:color="auto" w:sz="4" w:space="0"/>
            </w:tcBorders>
            <w:vAlign w:val="center"/>
          </w:tcPr>
          <w:p w14:paraId="79BB4B90">
            <w:pPr>
              <w:autoSpaceDE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响应性评审标准</w:t>
            </w:r>
          </w:p>
        </w:tc>
        <w:tc>
          <w:tcPr>
            <w:tcW w:w="2550" w:type="dxa"/>
            <w:gridSpan w:val="2"/>
            <w:tcBorders>
              <w:top w:val="single" w:color="auto" w:sz="4" w:space="0"/>
              <w:left w:val="nil"/>
              <w:bottom w:val="single" w:color="auto" w:sz="4" w:space="0"/>
              <w:right w:val="single" w:color="auto" w:sz="4" w:space="0"/>
            </w:tcBorders>
            <w:vAlign w:val="center"/>
          </w:tcPr>
          <w:p w14:paraId="1E2548F9">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工期</w:t>
            </w:r>
          </w:p>
        </w:tc>
        <w:tc>
          <w:tcPr>
            <w:tcW w:w="5581" w:type="dxa"/>
            <w:tcBorders>
              <w:top w:val="single" w:color="auto" w:sz="4" w:space="0"/>
              <w:left w:val="nil"/>
              <w:bottom w:val="single" w:color="auto" w:sz="4" w:space="0"/>
              <w:right w:val="single" w:color="auto" w:sz="4" w:space="0"/>
            </w:tcBorders>
            <w:vAlign w:val="center"/>
          </w:tcPr>
          <w:p w14:paraId="46B5E7DE">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符合投标须知前附表规定</w:t>
            </w:r>
          </w:p>
        </w:tc>
      </w:tr>
      <w:tr w14:paraId="025F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534925B6">
            <w:pPr>
              <w:rPr>
                <w:color w:val="auto"/>
                <w:sz w:val="20"/>
                <w:szCs w:val="20"/>
                <w:highlight w:val="none"/>
              </w:rPr>
            </w:pPr>
          </w:p>
        </w:tc>
        <w:tc>
          <w:tcPr>
            <w:tcW w:w="1136" w:type="dxa"/>
            <w:vMerge w:val="continue"/>
            <w:tcBorders>
              <w:top w:val="nil"/>
              <w:left w:val="nil"/>
              <w:bottom w:val="single" w:color="auto" w:sz="4" w:space="0"/>
              <w:right w:val="single" w:color="auto" w:sz="4" w:space="0"/>
            </w:tcBorders>
            <w:vAlign w:val="center"/>
          </w:tcPr>
          <w:p w14:paraId="35EAF336">
            <w:pPr>
              <w:rPr>
                <w:color w:val="auto"/>
                <w:sz w:val="20"/>
                <w:szCs w:val="20"/>
                <w:highlight w:val="none"/>
              </w:rPr>
            </w:pPr>
          </w:p>
        </w:tc>
        <w:tc>
          <w:tcPr>
            <w:tcW w:w="2550" w:type="dxa"/>
            <w:gridSpan w:val="2"/>
            <w:tcBorders>
              <w:top w:val="single" w:color="auto" w:sz="4" w:space="0"/>
              <w:left w:val="nil"/>
              <w:bottom w:val="single" w:color="auto" w:sz="4" w:space="0"/>
              <w:right w:val="single" w:color="auto" w:sz="4" w:space="0"/>
            </w:tcBorders>
            <w:vAlign w:val="center"/>
          </w:tcPr>
          <w:p w14:paraId="59FCDE63">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工程质量</w:t>
            </w:r>
          </w:p>
        </w:tc>
        <w:tc>
          <w:tcPr>
            <w:tcW w:w="5581" w:type="dxa"/>
            <w:tcBorders>
              <w:top w:val="single" w:color="auto" w:sz="4" w:space="0"/>
              <w:left w:val="nil"/>
              <w:bottom w:val="single" w:color="auto" w:sz="4" w:space="0"/>
              <w:right w:val="single" w:color="auto" w:sz="4" w:space="0"/>
            </w:tcBorders>
            <w:vAlign w:val="center"/>
          </w:tcPr>
          <w:p w14:paraId="4733F1D7">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符合投标须知前附表规定</w:t>
            </w:r>
          </w:p>
        </w:tc>
      </w:tr>
      <w:tr w14:paraId="2E67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4EABBB59">
            <w:pPr>
              <w:rPr>
                <w:color w:val="auto"/>
                <w:sz w:val="20"/>
                <w:szCs w:val="20"/>
                <w:highlight w:val="none"/>
              </w:rPr>
            </w:pPr>
          </w:p>
        </w:tc>
        <w:tc>
          <w:tcPr>
            <w:tcW w:w="1136" w:type="dxa"/>
            <w:vMerge w:val="continue"/>
            <w:tcBorders>
              <w:top w:val="nil"/>
              <w:left w:val="nil"/>
              <w:bottom w:val="single" w:color="auto" w:sz="4" w:space="0"/>
              <w:right w:val="single" w:color="auto" w:sz="4" w:space="0"/>
            </w:tcBorders>
            <w:vAlign w:val="center"/>
          </w:tcPr>
          <w:p w14:paraId="5B9E0B35">
            <w:pPr>
              <w:rPr>
                <w:color w:val="auto"/>
                <w:sz w:val="20"/>
                <w:szCs w:val="20"/>
                <w:highlight w:val="none"/>
              </w:rPr>
            </w:pPr>
          </w:p>
        </w:tc>
        <w:tc>
          <w:tcPr>
            <w:tcW w:w="2550" w:type="dxa"/>
            <w:gridSpan w:val="2"/>
            <w:tcBorders>
              <w:top w:val="single" w:color="auto" w:sz="4" w:space="0"/>
              <w:left w:val="nil"/>
              <w:bottom w:val="single" w:color="auto" w:sz="4" w:space="0"/>
              <w:right w:val="single" w:color="auto" w:sz="4" w:space="0"/>
            </w:tcBorders>
            <w:vAlign w:val="center"/>
          </w:tcPr>
          <w:p w14:paraId="45FE9AB0">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投标有效期</w:t>
            </w:r>
          </w:p>
        </w:tc>
        <w:tc>
          <w:tcPr>
            <w:tcW w:w="5581" w:type="dxa"/>
            <w:tcBorders>
              <w:top w:val="single" w:color="auto" w:sz="4" w:space="0"/>
              <w:left w:val="nil"/>
              <w:bottom w:val="single" w:color="auto" w:sz="4" w:space="0"/>
              <w:right w:val="single" w:color="auto" w:sz="4" w:space="0"/>
            </w:tcBorders>
            <w:vAlign w:val="center"/>
          </w:tcPr>
          <w:p w14:paraId="55A99FE5">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符合投标须知前附表规定</w:t>
            </w:r>
          </w:p>
        </w:tc>
      </w:tr>
      <w:tr w14:paraId="30D5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3D1D54B7">
            <w:pPr>
              <w:rPr>
                <w:color w:val="auto"/>
                <w:sz w:val="20"/>
                <w:szCs w:val="20"/>
                <w:highlight w:val="none"/>
              </w:rPr>
            </w:pPr>
          </w:p>
        </w:tc>
        <w:tc>
          <w:tcPr>
            <w:tcW w:w="1136" w:type="dxa"/>
            <w:vMerge w:val="continue"/>
            <w:tcBorders>
              <w:top w:val="nil"/>
              <w:left w:val="nil"/>
              <w:bottom w:val="single" w:color="auto" w:sz="4" w:space="0"/>
              <w:right w:val="single" w:color="auto" w:sz="4" w:space="0"/>
            </w:tcBorders>
            <w:vAlign w:val="center"/>
          </w:tcPr>
          <w:p w14:paraId="5631B7A6">
            <w:pPr>
              <w:rPr>
                <w:color w:val="auto"/>
                <w:sz w:val="20"/>
                <w:szCs w:val="20"/>
                <w:highlight w:val="none"/>
              </w:rPr>
            </w:pPr>
          </w:p>
        </w:tc>
        <w:tc>
          <w:tcPr>
            <w:tcW w:w="2550" w:type="dxa"/>
            <w:gridSpan w:val="2"/>
            <w:tcBorders>
              <w:top w:val="single" w:color="auto" w:sz="4" w:space="0"/>
              <w:left w:val="nil"/>
              <w:bottom w:val="single" w:color="auto" w:sz="4" w:space="0"/>
              <w:right w:val="single" w:color="auto" w:sz="4" w:space="0"/>
            </w:tcBorders>
            <w:vAlign w:val="center"/>
          </w:tcPr>
          <w:p w14:paraId="31CA60EB">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已标价工程量清单</w:t>
            </w:r>
          </w:p>
        </w:tc>
        <w:tc>
          <w:tcPr>
            <w:tcW w:w="5581" w:type="dxa"/>
            <w:tcBorders>
              <w:top w:val="single" w:color="auto" w:sz="4" w:space="0"/>
              <w:left w:val="nil"/>
              <w:bottom w:val="single" w:color="auto" w:sz="4" w:space="0"/>
              <w:right w:val="single" w:color="auto" w:sz="4" w:space="0"/>
            </w:tcBorders>
            <w:vAlign w:val="center"/>
          </w:tcPr>
          <w:p w14:paraId="639324A8">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与招标人发布的招标工程量清单（含需评审材料清单）排序一致</w:t>
            </w:r>
          </w:p>
        </w:tc>
      </w:tr>
      <w:tr w14:paraId="3CE0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2A43EF37">
            <w:pPr>
              <w:rPr>
                <w:color w:val="auto"/>
                <w:sz w:val="20"/>
                <w:szCs w:val="20"/>
                <w:highlight w:val="none"/>
              </w:rPr>
            </w:pPr>
          </w:p>
        </w:tc>
        <w:tc>
          <w:tcPr>
            <w:tcW w:w="1136" w:type="dxa"/>
            <w:vMerge w:val="continue"/>
            <w:tcBorders>
              <w:top w:val="nil"/>
              <w:left w:val="nil"/>
              <w:bottom w:val="single" w:color="auto" w:sz="4" w:space="0"/>
              <w:right w:val="single" w:color="auto" w:sz="4" w:space="0"/>
            </w:tcBorders>
            <w:vAlign w:val="center"/>
          </w:tcPr>
          <w:p w14:paraId="6FE7B971">
            <w:pPr>
              <w:rPr>
                <w:color w:val="auto"/>
                <w:sz w:val="20"/>
                <w:szCs w:val="20"/>
                <w:highlight w:val="none"/>
              </w:rPr>
            </w:pPr>
          </w:p>
        </w:tc>
        <w:tc>
          <w:tcPr>
            <w:tcW w:w="2550" w:type="dxa"/>
            <w:gridSpan w:val="2"/>
            <w:tcBorders>
              <w:top w:val="single" w:color="auto" w:sz="4" w:space="0"/>
              <w:left w:val="nil"/>
              <w:bottom w:val="single" w:color="auto" w:sz="4" w:space="0"/>
              <w:right w:val="single" w:color="auto" w:sz="4" w:space="0"/>
            </w:tcBorders>
            <w:vAlign w:val="center"/>
          </w:tcPr>
          <w:p w14:paraId="58D587E1">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暂列金额、专业工程暂估价、分部分项工程材料及设备暂估价</w:t>
            </w:r>
          </w:p>
        </w:tc>
        <w:tc>
          <w:tcPr>
            <w:tcW w:w="5581" w:type="dxa"/>
            <w:tcBorders>
              <w:top w:val="single" w:color="auto" w:sz="4" w:space="0"/>
              <w:left w:val="nil"/>
              <w:bottom w:val="single" w:color="auto" w:sz="4" w:space="0"/>
              <w:right w:val="single" w:color="auto" w:sz="4" w:space="0"/>
            </w:tcBorders>
            <w:vAlign w:val="center"/>
          </w:tcPr>
          <w:p w14:paraId="000FB8C3">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与招标人发布的招标工程量清单一致</w:t>
            </w:r>
          </w:p>
        </w:tc>
      </w:tr>
      <w:tr w14:paraId="052D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restart"/>
            <w:tcBorders>
              <w:top w:val="nil"/>
              <w:left w:val="single" w:color="auto" w:sz="4" w:space="0"/>
              <w:bottom w:val="single" w:color="auto" w:sz="4" w:space="0"/>
              <w:right w:val="single" w:color="auto" w:sz="4" w:space="0"/>
            </w:tcBorders>
            <w:vAlign w:val="center"/>
          </w:tcPr>
          <w:p w14:paraId="4C8A7D79">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3</w:t>
            </w:r>
          </w:p>
        </w:tc>
        <w:tc>
          <w:tcPr>
            <w:tcW w:w="1136" w:type="dxa"/>
            <w:vMerge w:val="restart"/>
            <w:tcBorders>
              <w:top w:val="nil"/>
              <w:left w:val="nil"/>
              <w:bottom w:val="single" w:color="auto" w:sz="4" w:space="0"/>
              <w:right w:val="single" w:color="auto" w:sz="4" w:space="0"/>
            </w:tcBorders>
            <w:vAlign w:val="center"/>
          </w:tcPr>
          <w:p w14:paraId="4DA10F70">
            <w:pPr>
              <w:autoSpaceDE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详细评审标准</w:t>
            </w:r>
          </w:p>
        </w:tc>
        <w:tc>
          <w:tcPr>
            <w:tcW w:w="2550" w:type="dxa"/>
            <w:gridSpan w:val="2"/>
            <w:tcBorders>
              <w:top w:val="single" w:color="auto" w:sz="4" w:space="0"/>
              <w:left w:val="nil"/>
              <w:bottom w:val="single" w:color="auto" w:sz="4" w:space="0"/>
              <w:right w:val="single" w:color="auto" w:sz="4" w:space="0"/>
            </w:tcBorders>
            <w:vAlign w:val="center"/>
          </w:tcPr>
          <w:p w14:paraId="69540ACF">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投标总价评审</w:t>
            </w:r>
          </w:p>
        </w:tc>
        <w:tc>
          <w:tcPr>
            <w:tcW w:w="5581" w:type="dxa"/>
            <w:tcBorders>
              <w:top w:val="single" w:color="auto" w:sz="4" w:space="0"/>
              <w:left w:val="nil"/>
              <w:bottom w:val="single" w:color="auto" w:sz="4" w:space="0"/>
              <w:right w:val="single" w:color="auto" w:sz="4" w:space="0"/>
            </w:tcBorders>
            <w:vAlign w:val="center"/>
          </w:tcPr>
          <w:p w14:paraId="5EDCBF0D">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不得高于最高投标限价，也不得低于工程成本价</w:t>
            </w:r>
          </w:p>
        </w:tc>
      </w:tr>
      <w:tr w14:paraId="65F6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2792B65F">
            <w:pPr>
              <w:rPr>
                <w:color w:val="auto"/>
                <w:sz w:val="20"/>
                <w:szCs w:val="20"/>
                <w:highlight w:val="none"/>
              </w:rPr>
            </w:pPr>
          </w:p>
        </w:tc>
        <w:tc>
          <w:tcPr>
            <w:tcW w:w="1136" w:type="dxa"/>
            <w:vMerge w:val="continue"/>
            <w:tcBorders>
              <w:top w:val="nil"/>
              <w:left w:val="nil"/>
              <w:bottom w:val="single" w:color="auto" w:sz="4" w:space="0"/>
              <w:right w:val="single" w:color="auto" w:sz="4" w:space="0"/>
            </w:tcBorders>
            <w:vAlign w:val="center"/>
          </w:tcPr>
          <w:p w14:paraId="66C8639F">
            <w:pPr>
              <w:rPr>
                <w:color w:val="auto"/>
                <w:sz w:val="20"/>
                <w:szCs w:val="20"/>
                <w:highlight w:val="none"/>
              </w:rPr>
            </w:pPr>
          </w:p>
        </w:tc>
        <w:tc>
          <w:tcPr>
            <w:tcW w:w="905" w:type="dxa"/>
            <w:vMerge w:val="restart"/>
            <w:tcBorders>
              <w:top w:val="nil"/>
              <w:left w:val="nil"/>
              <w:bottom w:val="single" w:color="auto" w:sz="4" w:space="0"/>
              <w:right w:val="single" w:color="auto" w:sz="4" w:space="0"/>
            </w:tcBorders>
            <w:vAlign w:val="center"/>
          </w:tcPr>
          <w:p w14:paraId="7F2E474F">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工程成本评审</w:t>
            </w:r>
          </w:p>
        </w:tc>
        <w:tc>
          <w:tcPr>
            <w:tcW w:w="7226" w:type="dxa"/>
            <w:gridSpan w:val="2"/>
            <w:tcBorders>
              <w:top w:val="single" w:color="auto" w:sz="4" w:space="0"/>
              <w:left w:val="nil"/>
              <w:bottom w:val="single" w:color="auto" w:sz="4" w:space="0"/>
              <w:right w:val="single" w:color="auto" w:sz="4" w:space="0"/>
            </w:tcBorders>
            <w:vAlign w:val="center"/>
          </w:tcPr>
          <w:p w14:paraId="65B446F5">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投标报价出现下列情形之一的，由评标委员会重点评审后界定其报价是否低于工程成本</w:t>
            </w:r>
          </w:p>
        </w:tc>
      </w:tr>
      <w:tr w14:paraId="4658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14913CA3">
            <w:pPr>
              <w:rPr>
                <w:color w:val="auto"/>
                <w:sz w:val="20"/>
                <w:szCs w:val="20"/>
                <w:highlight w:val="none"/>
              </w:rPr>
            </w:pPr>
          </w:p>
        </w:tc>
        <w:tc>
          <w:tcPr>
            <w:tcW w:w="1136" w:type="dxa"/>
            <w:vMerge w:val="continue"/>
            <w:tcBorders>
              <w:top w:val="nil"/>
              <w:left w:val="nil"/>
              <w:bottom w:val="single" w:color="auto" w:sz="4" w:space="0"/>
              <w:right w:val="single" w:color="auto" w:sz="4" w:space="0"/>
            </w:tcBorders>
            <w:vAlign w:val="center"/>
          </w:tcPr>
          <w:p w14:paraId="10079015">
            <w:pPr>
              <w:rPr>
                <w:color w:val="auto"/>
                <w:sz w:val="20"/>
                <w:szCs w:val="20"/>
                <w:highlight w:val="none"/>
              </w:rPr>
            </w:pPr>
          </w:p>
        </w:tc>
        <w:tc>
          <w:tcPr>
            <w:tcW w:w="905" w:type="dxa"/>
            <w:vMerge w:val="continue"/>
            <w:tcBorders>
              <w:top w:val="nil"/>
              <w:left w:val="nil"/>
              <w:bottom w:val="single" w:color="auto" w:sz="4" w:space="0"/>
              <w:right w:val="single" w:color="auto" w:sz="4" w:space="0"/>
            </w:tcBorders>
            <w:vAlign w:val="center"/>
          </w:tcPr>
          <w:p w14:paraId="7D3E2E21">
            <w:pPr>
              <w:rPr>
                <w:color w:val="auto"/>
                <w:sz w:val="20"/>
                <w:szCs w:val="20"/>
                <w:highlight w:val="none"/>
              </w:rPr>
            </w:pPr>
          </w:p>
        </w:tc>
        <w:tc>
          <w:tcPr>
            <w:tcW w:w="1645" w:type="dxa"/>
            <w:tcBorders>
              <w:top w:val="single" w:color="auto" w:sz="4" w:space="0"/>
              <w:left w:val="nil"/>
              <w:bottom w:val="single" w:color="auto" w:sz="4" w:space="0"/>
              <w:right w:val="single" w:color="auto" w:sz="4" w:space="0"/>
            </w:tcBorders>
            <w:vAlign w:val="center"/>
          </w:tcPr>
          <w:p w14:paraId="2F0C2D10">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投标报价</w:t>
            </w:r>
          </w:p>
        </w:tc>
        <w:tc>
          <w:tcPr>
            <w:tcW w:w="5581" w:type="dxa"/>
            <w:tcBorders>
              <w:top w:val="single" w:color="auto" w:sz="4" w:space="0"/>
              <w:left w:val="nil"/>
              <w:bottom w:val="single" w:color="auto" w:sz="4" w:space="0"/>
              <w:right w:val="single" w:color="auto" w:sz="4" w:space="0"/>
            </w:tcBorders>
            <w:vAlign w:val="center"/>
          </w:tcPr>
          <w:p w14:paraId="0CB8203E">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投标报价低于同一工程有效投标报价平均值10%以上</w:t>
            </w:r>
          </w:p>
        </w:tc>
      </w:tr>
      <w:tr w14:paraId="6498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6696A2A8">
            <w:pPr>
              <w:rPr>
                <w:color w:val="auto"/>
                <w:sz w:val="20"/>
                <w:szCs w:val="20"/>
                <w:highlight w:val="none"/>
              </w:rPr>
            </w:pPr>
          </w:p>
        </w:tc>
        <w:tc>
          <w:tcPr>
            <w:tcW w:w="1136" w:type="dxa"/>
            <w:vMerge w:val="continue"/>
            <w:tcBorders>
              <w:top w:val="nil"/>
              <w:left w:val="nil"/>
              <w:bottom w:val="single" w:color="auto" w:sz="4" w:space="0"/>
              <w:right w:val="single" w:color="auto" w:sz="4" w:space="0"/>
            </w:tcBorders>
            <w:vAlign w:val="center"/>
          </w:tcPr>
          <w:p w14:paraId="22DB041D">
            <w:pPr>
              <w:rPr>
                <w:color w:val="auto"/>
                <w:sz w:val="20"/>
                <w:szCs w:val="20"/>
                <w:highlight w:val="none"/>
              </w:rPr>
            </w:pPr>
          </w:p>
        </w:tc>
        <w:tc>
          <w:tcPr>
            <w:tcW w:w="905" w:type="dxa"/>
            <w:vMerge w:val="continue"/>
            <w:tcBorders>
              <w:top w:val="nil"/>
              <w:left w:val="nil"/>
              <w:bottom w:val="single" w:color="auto" w:sz="4" w:space="0"/>
              <w:right w:val="single" w:color="auto" w:sz="4" w:space="0"/>
            </w:tcBorders>
            <w:vAlign w:val="center"/>
          </w:tcPr>
          <w:p w14:paraId="68F90184">
            <w:pPr>
              <w:rPr>
                <w:color w:val="auto"/>
                <w:sz w:val="20"/>
                <w:szCs w:val="20"/>
                <w:highlight w:val="none"/>
              </w:rPr>
            </w:pPr>
          </w:p>
        </w:tc>
        <w:tc>
          <w:tcPr>
            <w:tcW w:w="1645" w:type="dxa"/>
            <w:tcBorders>
              <w:top w:val="single" w:color="auto" w:sz="4" w:space="0"/>
              <w:left w:val="nil"/>
              <w:bottom w:val="single" w:color="auto" w:sz="4" w:space="0"/>
              <w:right w:val="single" w:color="auto" w:sz="4" w:space="0"/>
            </w:tcBorders>
            <w:vAlign w:val="center"/>
          </w:tcPr>
          <w:p w14:paraId="55218327">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报价内容完整性</w:t>
            </w:r>
          </w:p>
        </w:tc>
        <w:tc>
          <w:tcPr>
            <w:tcW w:w="5581" w:type="dxa"/>
            <w:tcBorders>
              <w:top w:val="single" w:color="auto" w:sz="4" w:space="0"/>
              <w:left w:val="nil"/>
              <w:bottom w:val="single" w:color="auto" w:sz="4" w:space="0"/>
              <w:right w:val="single" w:color="auto" w:sz="4" w:space="0"/>
            </w:tcBorders>
            <w:vAlign w:val="center"/>
          </w:tcPr>
          <w:p w14:paraId="5AE6123C">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因投标人原因造成投标报价清单缺漏，缺漏项总额（多算或多报总额不得抵消缺漏项目总额）累计占同一工程有效投标总报价平均值5%以上。</w:t>
            </w:r>
          </w:p>
        </w:tc>
      </w:tr>
      <w:tr w14:paraId="238A5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427849B4">
            <w:pPr>
              <w:rPr>
                <w:color w:val="auto"/>
                <w:sz w:val="20"/>
                <w:szCs w:val="20"/>
                <w:highlight w:val="none"/>
              </w:rPr>
            </w:pPr>
          </w:p>
        </w:tc>
        <w:tc>
          <w:tcPr>
            <w:tcW w:w="1136" w:type="dxa"/>
            <w:vMerge w:val="continue"/>
            <w:tcBorders>
              <w:top w:val="nil"/>
              <w:left w:val="nil"/>
              <w:bottom w:val="single" w:color="auto" w:sz="4" w:space="0"/>
              <w:right w:val="single" w:color="auto" w:sz="4" w:space="0"/>
            </w:tcBorders>
            <w:vAlign w:val="center"/>
          </w:tcPr>
          <w:p w14:paraId="72A160AF">
            <w:pPr>
              <w:rPr>
                <w:color w:val="auto"/>
                <w:sz w:val="20"/>
                <w:szCs w:val="20"/>
                <w:highlight w:val="none"/>
              </w:rPr>
            </w:pPr>
          </w:p>
        </w:tc>
        <w:tc>
          <w:tcPr>
            <w:tcW w:w="905" w:type="dxa"/>
            <w:vMerge w:val="continue"/>
            <w:tcBorders>
              <w:top w:val="nil"/>
              <w:left w:val="nil"/>
              <w:bottom w:val="single" w:color="auto" w:sz="4" w:space="0"/>
              <w:right w:val="single" w:color="auto" w:sz="4" w:space="0"/>
            </w:tcBorders>
            <w:vAlign w:val="center"/>
          </w:tcPr>
          <w:p w14:paraId="1E54DD95">
            <w:pPr>
              <w:rPr>
                <w:color w:val="auto"/>
                <w:sz w:val="20"/>
                <w:szCs w:val="20"/>
                <w:highlight w:val="none"/>
              </w:rPr>
            </w:pPr>
          </w:p>
        </w:tc>
        <w:tc>
          <w:tcPr>
            <w:tcW w:w="1645" w:type="dxa"/>
            <w:tcBorders>
              <w:top w:val="single" w:color="auto" w:sz="4" w:space="0"/>
              <w:left w:val="nil"/>
              <w:bottom w:val="single" w:color="auto" w:sz="4" w:space="0"/>
              <w:right w:val="single" w:color="auto" w:sz="4" w:space="0"/>
            </w:tcBorders>
            <w:vAlign w:val="center"/>
          </w:tcPr>
          <w:p w14:paraId="70A915F6">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人工工日单价</w:t>
            </w:r>
          </w:p>
        </w:tc>
        <w:tc>
          <w:tcPr>
            <w:tcW w:w="5581" w:type="dxa"/>
            <w:tcBorders>
              <w:top w:val="single" w:color="auto" w:sz="4" w:space="0"/>
              <w:left w:val="nil"/>
              <w:bottom w:val="single" w:color="auto" w:sz="4" w:space="0"/>
              <w:right w:val="single" w:color="auto" w:sz="4" w:space="0"/>
            </w:tcBorders>
            <w:vAlign w:val="center"/>
          </w:tcPr>
          <w:p w14:paraId="78787FB9">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不得低于工程所在地政府发布的最低工资标准折算的工日单价。</w:t>
            </w:r>
          </w:p>
        </w:tc>
      </w:tr>
      <w:tr w14:paraId="30EC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41F34B81">
            <w:pPr>
              <w:rPr>
                <w:color w:val="auto"/>
                <w:sz w:val="20"/>
                <w:szCs w:val="20"/>
                <w:highlight w:val="none"/>
              </w:rPr>
            </w:pPr>
          </w:p>
        </w:tc>
        <w:tc>
          <w:tcPr>
            <w:tcW w:w="1136" w:type="dxa"/>
            <w:vMerge w:val="continue"/>
            <w:tcBorders>
              <w:top w:val="nil"/>
              <w:left w:val="nil"/>
              <w:bottom w:val="single" w:color="auto" w:sz="4" w:space="0"/>
              <w:right w:val="single" w:color="auto" w:sz="4" w:space="0"/>
            </w:tcBorders>
            <w:vAlign w:val="center"/>
          </w:tcPr>
          <w:p w14:paraId="3F258873">
            <w:pPr>
              <w:rPr>
                <w:color w:val="auto"/>
                <w:sz w:val="20"/>
                <w:szCs w:val="20"/>
                <w:highlight w:val="none"/>
              </w:rPr>
            </w:pPr>
          </w:p>
        </w:tc>
        <w:tc>
          <w:tcPr>
            <w:tcW w:w="905" w:type="dxa"/>
            <w:vMerge w:val="continue"/>
            <w:tcBorders>
              <w:top w:val="nil"/>
              <w:left w:val="nil"/>
              <w:bottom w:val="single" w:color="auto" w:sz="4" w:space="0"/>
              <w:right w:val="single" w:color="auto" w:sz="4" w:space="0"/>
            </w:tcBorders>
            <w:vAlign w:val="center"/>
          </w:tcPr>
          <w:p w14:paraId="25629578">
            <w:pPr>
              <w:rPr>
                <w:color w:val="auto"/>
                <w:sz w:val="20"/>
                <w:szCs w:val="20"/>
                <w:highlight w:val="none"/>
              </w:rPr>
            </w:pPr>
          </w:p>
        </w:tc>
        <w:tc>
          <w:tcPr>
            <w:tcW w:w="1645" w:type="dxa"/>
            <w:tcBorders>
              <w:top w:val="single" w:color="auto" w:sz="4" w:space="0"/>
              <w:left w:val="nil"/>
              <w:bottom w:val="single" w:color="auto" w:sz="4" w:space="0"/>
              <w:right w:val="single" w:color="auto" w:sz="4" w:space="0"/>
            </w:tcBorders>
            <w:vAlign w:val="center"/>
          </w:tcPr>
          <w:p w14:paraId="6A895886">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需评审材料数量</w:t>
            </w:r>
          </w:p>
        </w:tc>
        <w:tc>
          <w:tcPr>
            <w:tcW w:w="5581" w:type="dxa"/>
            <w:tcBorders>
              <w:top w:val="single" w:color="auto" w:sz="4" w:space="0"/>
              <w:left w:val="nil"/>
              <w:bottom w:val="single" w:color="auto" w:sz="4" w:space="0"/>
              <w:right w:val="single" w:color="auto" w:sz="4" w:space="0"/>
            </w:tcBorders>
            <w:vAlign w:val="center"/>
          </w:tcPr>
          <w:p w14:paraId="5CBFAFB0">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需评审的主要材料消耗量低于最高投标限价相应材料数量的5%以上，且低于同一工程有效投标报价相应材料消耗量平均值的3%以上。</w:t>
            </w:r>
          </w:p>
        </w:tc>
      </w:tr>
      <w:tr w14:paraId="6CD8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23C00032">
            <w:pPr>
              <w:rPr>
                <w:color w:val="auto"/>
                <w:sz w:val="20"/>
                <w:szCs w:val="20"/>
                <w:highlight w:val="none"/>
              </w:rPr>
            </w:pPr>
          </w:p>
        </w:tc>
        <w:tc>
          <w:tcPr>
            <w:tcW w:w="1136" w:type="dxa"/>
            <w:vMerge w:val="continue"/>
            <w:tcBorders>
              <w:top w:val="nil"/>
              <w:left w:val="nil"/>
              <w:bottom w:val="single" w:color="auto" w:sz="4" w:space="0"/>
              <w:right w:val="single" w:color="auto" w:sz="4" w:space="0"/>
            </w:tcBorders>
            <w:vAlign w:val="center"/>
          </w:tcPr>
          <w:p w14:paraId="01B4E4A1">
            <w:pPr>
              <w:rPr>
                <w:color w:val="auto"/>
                <w:sz w:val="20"/>
                <w:szCs w:val="20"/>
                <w:highlight w:val="none"/>
              </w:rPr>
            </w:pPr>
          </w:p>
        </w:tc>
        <w:tc>
          <w:tcPr>
            <w:tcW w:w="905" w:type="dxa"/>
            <w:vMerge w:val="continue"/>
            <w:tcBorders>
              <w:top w:val="nil"/>
              <w:left w:val="nil"/>
              <w:bottom w:val="single" w:color="auto" w:sz="4" w:space="0"/>
              <w:right w:val="single" w:color="auto" w:sz="4" w:space="0"/>
            </w:tcBorders>
            <w:vAlign w:val="center"/>
          </w:tcPr>
          <w:p w14:paraId="44CAC1A9">
            <w:pPr>
              <w:rPr>
                <w:color w:val="auto"/>
                <w:sz w:val="20"/>
                <w:szCs w:val="20"/>
                <w:highlight w:val="none"/>
              </w:rPr>
            </w:pPr>
          </w:p>
        </w:tc>
        <w:tc>
          <w:tcPr>
            <w:tcW w:w="1645" w:type="dxa"/>
            <w:tcBorders>
              <w:top w:val="single" w:color="auto" w:sz="4" w:space="0"/>
              <w:left w:val="nil"/>
              <w:bottom w:val="single" w:color="auto" w:sz="4" w:space="0"/>
              <w:right w:val="single" w:color="auto" w:sz="4" w:space="0"/>
            </w:tcBorders>
            <w:vAlign w:val="center"/>
          </w:tcPr>
          <w:p w14:paraId="478C8140">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施工机具使用费</w:t>
            </w:r>
          </w:p>
        </w:tc>
        <w:tc>
          <w:tcPr>
            <w:tcW w:w="5581" w:type="dxa"/>
            <w:tcBorders>
              <w:top w:val="single" w:color="auto" w:sz="4" w:space="0"/>
              <w:left w:val="nil"/>
              <w:bottom w:val="single" w:color="auto" w:sz="4" w:space="0"/>
              <w:right w:val="single" w:color="auto" w:sz="4" w:space="0"/>
            </w:tcBorders>
            <w:vAlign w:val="center"/>
          </w:tcPr>
          <w:p w14:paraId="5FD5DC6B">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施工机具使用费低于同一工程有效投标报价施工机具使用费平均值的10%以上。</w:t>
            </w:r>
          </w:p>
        </w:tc>
      </w:tr>
      <w:tr w14:paraId="7425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5E06701B">
            <w:pPr>
              <w:rPr>
                <w:color w:val="auto"/>
                <w:sz w:val="20"/>
                <w:szCs w:val="20"/>
                <w:highlight w:val="none"/>
              </w:rPr>
            </w:pPr>
          </w:p>
        </w:tc>
        <w:tc>
          <w:tcPr>
            <w:tcW w:w="1136" w:type="dxa"/>
            <w:vMerge w:val="continue"/>
            <w:tcBorders>
              <w:top w:val="nil"/>
              <w:left w:val="nil"/>
              <w:bottom w:val="single" w:color="auto" w:sz="4" w:space="0"/>
              <w:right w:val="single" w:color="auto" w:sz="4" w:space="0"/>
            </w:tcBorders>
            <w:vAlign w:val="center"/>
          </w:tcPr>
          <w:p w14:paraId="604D573F">
            <w:pPr>
              <w:rPr>
                <w:color w:val="auto"/>
                <w:sz w:val="20"/>
                <w:szCs w:val="20"/>
                <w:highlight w:val="none"/>
              </w:rPr>
            </w:pPr>
          </w:p>
        </w:tc>
        <w:tc>
          <w:tcPr>
            <w:tcW w:w="905" w:type="dxa"/>
            <w:vMerge w:val="continue"/>
            <w:tcBorders>
              <w:top w:val="nil"/>
              <w:left w:val="nil"/>
              <w:bottom w:val="single" w:color="auto" w:sz="4" w:space="0"/>
              <w:right w:val="single" w:color="auto" w:sz="4" w:space="0"/>
            </w:tcBorders>
            <w:vAlign w:val="center"/>
          </w:tcPr>
          <w:p w14:paraId="18B6F440">
            <w:pPr>
              <w:rPr>
                <w:color w:val="auto"/>
                <w:sz w:val="20"/>
                <w:szCs w:val="20"/>
                <w:highlight w:val="none"/>
              </w:rPr>
            </w:pPr>
          </w:p>
        </w:tc>
        <w:tc>
          <w:tcPr>
            <w:tcW w:w="1645" w:type="dxa"/>
            <w:tcBorders>
              <w:top w:val="single" w:color="auto" w:sz="4" w:space="0"/>
              <w:left w:val="nil"/>
              <w:bottom w:val="single" w:color="auto" w:sz="4" w:space="0"/>
              <w:right w:val="single" w:color="auto" w:sz="4" w:space="0"/>
            </w:tcBorders>
            <w:vAlign w:val="center"/>
          </w:tcPr>
          <w:p w14:paraId="12A6B243">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管理费和利润费率</w:t>
            </w:r>
          </w:p>
        </w:tc>
        <w:tc>
          <w:tcPr>
            <w:tcW w:w="5581" w:type="dxa"/>
            <w:tcBorders>
              <w:top w:val="single" w:color="auto" w:sz="4" w:space="0"/>
              <w:left w:val="nil"/>
              <w:bottom w:val="single" w:color="auto" w:sz="4" w:space="0"/>
              <w:right w:val="single" w:color="auto" w:sz="4" w:space="0"/>
            </w:tcBorders>
            <w:vAlign w:val="center"/>
          </w:tcPr>
          <w:p w14:paraId="0D2D71B3">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管理费、利润投标费率低于0%。</w:t>
            </w:r>
          </w:p>
        </w:tc>
      </w:tr>
      <w:tr w14:paraId="7873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7FAE34ED">
            <w:pPr>
              <w:rPr>
                <w:color w:val="auto"/>
                <w:sz w:val="20"/>
                <w:szCs w:val="20"/>
                <w:highlight w:val="none"/>
              </w:rPr>
            </w:pPr>
          </w:p>
        </w:tc>
        <w:tc>
          <w:tcPr>
            <w:tcW w:w="1136" w:type="dxa"/>
            <w:vMerge w:val="continue"/>
            <w:tcBorders>
              <w:top w:val="nil"/>
              <w:left w:val="nil"/>
              <w:bottom w:val="single" w:color="auto" w:sz="4" w:space="0"/>
              <w:right w:val="single" w:color="auto" w:sz="4" w:space="0"/>
            </w:tcBorders>
            <w:vAlign w:val="center"/>
          </w:tcPr>
          <w:p w14:paraId="2BA400A4">
            <w:pPr>
              <w:rPr>
                <w:color w:val="auto"/>
                <w:sz w:val="20"/>
                <w:szCs w:val="20"/>
                <w:highlight w:val="none"/>
              </w:rPr>
            </w:pPr>
          </w:p>
        </w:tc>
        <w:tc>
          <w:tcPr>
            <w:tcW w:w="905" w:type="dxa"/>
            <w:vMerge w:val="restart"/>
            <w:tcBorders>
              <w:top w:val="nil"/>
              <w:left w:val="nil"/>
              <w:bottom w:val="single" w:color="auto" w:sz="4" w:space="0"/>
              <w:right w:val="single" w:color="auto" w:sz="4" w:space="0"/>
            </w:tcBorders>
            <w:vAlign w:val="center"/>
          </w:tcPr>
          <w:p w14:paraId="60608600">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无效</w:t>
            </w:r>
          </w:p>
          <w:p w14:paraId="7F1F8C87">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报价</w:t>
            </w:r>
          </w:p>
        </w:tc>
        <w:tc>
          <w:tcPr>
            <w:tcW w:w="1645" w:type="dxa"/>
            <w:tcBorders>
              <w:top w:val="single" w:color="auto" w:sz="4" w:space="0"/>
              <w:left w:val="nil"/>
              <w:bottom w:val="single" w:color="auto" w:sz="4" w:space="0"/>
              <w:right w:val="single" w:color="auto" w:sz="4" w:space="0"/>
            </w:tcBorders>
            <w:vAlign w:val="center"/>
          </w:tcPr>
          <w:p w14:paraId="6BFF9186">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暂估价材料、设备</w:t>
            </w:r>
          </w:p>
        </w:tc>
        <w:tc>
          <w:tcPr>
            <w:tcW w:w="5581" w:type="dxa"/>
            <w:tcBorders>
              <w:top w:val="single" w:color="auto" w:sz="4" w:space="0"/>
              <w:left w:val="nil"/>
              <w:bottom w:val="single" w:color="auto" w:sz="4" w:space="0"/>
              <w:right w:val="single" w:color="auto" w:sz="4" w:space="0"/>
            </w:tcBorders>
            <w:vAlign w:val="center"/>
          </w:tcPr>
          <w:p w14:paraId="6C5BA346">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材料、设备暂估价未按要求计入分部分项工程费</w:t>
            </w:r>
          </w:p>
        </w:tc>
      </w:tr>
      <w:tr w14:paraId="6E2C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55119EE7">
            <w:pPr>
              <w:rPr>
                <w:color w:val="auto"/>
                <w:sz w:val="20"/>
                <w:szCs w:val="20"/>
                <w:highlight w:val="none"/>
              </w:rPr>
            </w:pPr>
          </w:p>
        </w:tc>
        <w:tc>
          <w:tcPr>
            <w:tcW w:w="1136" w:type="dxa"/>
            <w:vMerge w:val="continue"/>
            <w:tcBorders>
              <w:top w:val="nil"/>
              <w:left w:val="nil"/>
              <w:bottom w:val="single" w:color="auto" w:sz="4" w:space="0"/>
              <w:right w:val="single" w:color="auto" w:sz="4" w:space="0"/>
            </w:tcBorders>
            <w:vAlign w:val="center"/>
          </w:tcPr>
          <w:p w14:paraId="271BF859">
            <w:pPr>
              <w:rPr>
                <w:color w:val="auto"/>
                <w:sz w:val="20"/>
                <w:szCs w:val="20"/>
                <w:highlight w:val="none"/>
              </w:rPr>
            </w:pPr>
          </w:p>
        </w:tc>
        <w:tc>
          <w:tcPr>
            <w:tcW w:w="905" w:type="dxa"/>
            <w:vMerge w:val="continue"/>
            <w:tcBorders>
              <w:top w:val="nil"/>
              <w:left w:val="nil"/>
              <w:bottom w:val="single" w:color="auto" w:sz="4" w:space="0"/>
              <w:right w:val="single" w:color="auto" w:sz="4" w:space="0"/>
            </w:tcBorders>
            <w:vAlign w:val="center"/>
          </w:tcPr>
          <w:p w14:paraId="4EB62074">
            <w:pPr>
              <w:rPr>
                <w:color w:val="auto"/>
                <w:sz w:val="20"/>
                <w:szCs w:val="20"/>
                <w:highlight w:val="none"/>
              </w:rPr>
            </w:pPr>
          </w:p>
        </w:tc>
        <w:tc>
          <w:tcPr>
            <w:tcW w:w="1645" w:type="dxa"/>
            <w:tcBorders>
              <w:top w:val="single" w:color="auto" w:sz="4" w:space="0"/>
              <w:left w:val="nil"/>
              <w:bottom w:val="single" w:color="auto" w:sz="4" w:space="0"/>
              <w:right w:val="single" w:color="auto" w:sz="4" w:space="0"/>
            </w:tcBorders>
            <w:vAlign w:val="center"/>
          </w:tcPr>
          <w:p w14:paraId="5C0C8808">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不可竞争项目费费率</w:t>
            </w:r>
          </w:p>
        </w:tc>
        <w:tc>
          <w:tcPr>
            <w:tcW w:w="5581" w:type="dxa"/>
            <w:tcBorders>
              <w:top w:val="single" w:color="auto" w:sz="4" w:space="0"/>
              <w:left w:val="nil"/>
              <w:bottom w:val="single" w:color="auto" w:sz="4" w:space="0"/>
              <w:right w:val="single" w:color="auto" w:sz="4" w:space="0"/>
            </w:tcBorders>
            <w:vAlign w:val="center"/>
          </w:tcPr>
          <w:p w14:paraId="66A3ED08">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低于建标〔2021〕42号文规定的费率。</w:t>
            </w:r>
          </w:p>
        </w:tc>
      </w:tr>
      <w:tr w14:paraId="2C32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vAlign w:val="center"/>
          </w:tcPr>
          <w:p w14:paraId="3A9618F6">
            <w:pPr>
              <w:rPr>
                <w:color w:val="auto"/>
                <w:sz w:val="20"/>
                <w:szCs w:val="20"/>
                <w:highlight w:val="none"/>
              </w:rPr>
            </w:pPr>
          </w:p>
        </w:tc>
        <w:tc>
          <w:tcPr>
            <w:tcW w:w="1136" w:type="dxa"/>
            <w:vMerge w:val="continue"/>
            <w:tcBorders>
              <w:top w:val="nil"/>
              <w:left w:val="nil"/>
              <w:bottom w:val="single" w:color="auto" w:sz="4" w:space="0"/>
              <w:right w:val="single" w:color="auto" w:sz="4" w:space="0"/>
            </w:tcBorders>
            <w:vAlign w:val="center"/>
          </w:tcPr>
          <w:p w14:paraId="458ABB8A">
            <w:pPr>
              <w:rPr>
                <w:color w:val="auto"/>
                <w:sz w:val="20"/>
                <w:szCs w:val="20"/>
                <w:highlight w:val="none"/>
              </w:rPr>
            </w:pPr>
          </w:p>
        </w:tc>
        <w:tc>
          <w:tcPr>
            <w:tcW w:w="905" w:type="dxa"/>
            <w:vMerge w:val="continue"/>
            <w:tcBorders>
              <w:top w:val="nil"/>
              <w:left w:val="nil"/>
              <w:bottom w:val="single" w:color="auto" w:sz="4" w:space="0"/>
              <w:right w:val="single" w:color="auto" w:sz="4" w:space="0"/>
            </w:tcBorders>
            <w:vAlign w:val="center"/>
          </w:tcPr>
          <w:p w14:paraId="06263797">
            <w:pPr>
              <w:rPr>
                <w:color w:val="auto"/>
                <w:sz w:val="20"/>
                <w:szCs w:val="20"/>
                <w:highlight w:val="none"/>
              </w:rPr>
            </w:pPr>
          </w:p>
        </w:tc>
        <w:tc>
          <w:tcPr>
            <w:tcW w:w="1645" w:type="dxa"/>
            <w:tcBorders>
              <w:top w:val="single" w:color="auto" w:sz="4" w:space="0"/>
              <w:left w:val="nil"/>
              <w:bottom w:val="single" w:color="auto" w:sz="4" w:space="0"/>
              <w:right w:val="single" w:color="auto" w:sz="4" w:space="0"/>
            </w:tcBorders>
            <w:vAlign w:val="center"/>
          </w:tcPr>
          <w:p w14:paraId="5EC14182">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税率</w:t>
            </w:r>
          </w:p>
        </w:tc>
        <w:tc>
          <w:tcPr>
            <w:tcW w:w="5581" w:type="dxa"/>
            <w:tcBorders>
              <w:top w:val="single" w:color="auto" w:sz="4" w:space="0"/>
              <w:left w:val="nil"/>
              <w:bottom w:val="single" w:color="auto" w:sz="4" w:space="0"/>
              <w:right w:val="single" w:color="auto" w:sz="4" w:space="0"/>
            </w:tcBorders>
            <w:vAlign w:val="center"/>
          </w:tcPr>
          <w:p w14:paraId="334DBAB4">
            <w:pPr>
              <w:autoSpaceDE w:val="0"/>
              <w:spacing w:line="440" w:lineRule="exact"/>
              <w:rPr>
                <w:rFonts w:hint="eastAsia" w:ascii="宋体" w:hAnsi="宋体" w:cs="宋体"/>
                <w:color w:val="auto"/>
                <w:szCs w:val="21"/>
                <w:highlight w:val="none"/>
              </w:rPr>
            </w:pPr>
            <w:r>
              <w:rPr>
                <w:rFonts w:hint="eastAsia" w:ascii="宋体" w:hAnsi="宋体" w:cs="宋体"/>
                <w:color w:val="auto"/>
                <w:szCs w:val="21"/>
                <w:highlight w:val="none"/>
                <w:lang w:bidi="ar"/>
              </w:rPr>
              <w:t>低于《关于调整我省现行建设工程计价依据增值税税率的通知》（皖造价〔2019〕7号）规定的费率。</w:t>
            </w:r>
          </w:p>
        </w:tc>
      </w:tr>
      <w:tr w14:paraId="0D98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tcBorders>
              <w:top w:val="single" w:color="auto" w:sz="4" w:space="0"/>
              <w:left w:val="single" w:color="auto" w:sz="4" w:space="0"/>
              <w:bottom w:val="single" w:color="auto" w:sz="4" w:space="0"/>
              <w:right w:val="single" w:color="auto" w:sz="4" w:space="0"/>
            </w:tcBorders>
            <w:vAlign w:val="center"/>
          </w:tcPr>
          <w:p w14:paraId="4F08F2B6">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4</w:t>
            </w:r>
          </w:p>
        </w:tc>
        <w:tc>
          <w:tcPr>
            <w:tcW w:w="1136" w:type="dxa"/>
            <w:tcBorders>
              <w:top w:val="single" w:color="auto" w:sz="4" w:space="0"/>
              <w:left w:val="nil"/>
              <w:bottom w:val="single" w:color="auto" w:sz="4" w:space="0"/>
              <w:right w:val="single" w:color="auto" w:sz="4" w:space="0"/>
            </w:tcBorders>
            <w:vAlign w:val="center"/>
          </w:tcPr>
          <w:p w14:paraId="6CF8EB29">
            <w:pPr>
              <w:autoSpaceDE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商务</w:t>
            </w:r>
          </w:p>
          <w:p w14:paraId="494111E8">
            <w:pPr>
              <w:autoSpaceDE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评分</w:t>
            </w:r>
          </w:p>
          <w:p w14:paraId="0B7EBE23">
            <w:pPr>
              <w:autoSpaceDE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w:t>
            </w:r>
            <w:r>
              <w:rPr>
                <w:rFonts w:hint="eastAsia" w:ascii="宋体" w:hAnsi="宋体" w:cs="宋体"/>
                <w:color w:val="auto"/>
                <w:szCs w:val="21"/>
                <w:highlight w:val="none"/>
                <w:lang w:val="en-US" w:eastAsia="zh-CN" w:bidi="ar"/>
              </w:rPr>
              <w:t>80</w:t>
            </w:r>
            <w:r>
              <w:rPr>
                <w:rFonts w:hint="eastAsia" w:ascii="宋体" w:hAnsi="宋体" w:cs="宋体"/>
                <w:color w:val="auto"/>
                <w:szCs w:val="21"/>
                <w:highlight w:val="none"/>
                <w:lang w:bidi="ar"/>
              </w:rPr>
              <w:t>分）</w:t>
            </w:r>
          </w:p>
        </w:tc>
        <w:tc>
          <w:tcPr>
            <w:tcW w:w="8131" w:type="dxa"/>
            <w:gridSpan w:val="3"/>
            <w:tcBorders>
              <w:top w:val="single" w:color="auto" w:sz="4" w:space="0"/>
              <w:left w:val="nil"/>
              <w:bottom w:val="single" w:color="auto" w:sz="4" w:space="0"/>
              <w:right w:val="single" w:color="auto" w:sz="4" w:space="0"/>
            </w:tcBorders>
            <w:vAlign w:val="center"/>
          </w:tcPr>
          <w:p w14:paraId="4D47D5F2">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商务标评分按下列步骤计算：</w:t>
            </w:r>
          </w:p>
          <w:p w14:paraId="28051DCE">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第一步：计算B值。</w:t>
            </w:r>
          </w:p>
          <w:p w14:paraId="4B01E502">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①B值为通过（资信、技术、商务）详细评审的有效投标人有效投标报价的算术平均值。</w:t>
            </w:r>
          </w:p>
          <w:p w14:paraId="0772EB6B">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第二步：计算评标基准价F值。</w:t>
            </w:r>
          </w:p>
          <w:p w14:paraId="199E0963">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①F=B×（1-K），其中K为调整系数，K的取值为-0.5%（1号），0%（2号），0.5%（3号），1.0%（4号），1.5%（5号）。</w:t>
            </w:r>
          </w:p>
          <w:p w14:paraId="5BD1045E">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第三步：计算报价偏差率。</w:t>
            </w:r>
          </w:p>
          <w:p w14:paraId="77FE0DC0">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①偏差率=|（投标报价-评标基准价）/评标基准价|×100%</w:t>
            </w:r>
          </w:p>
          <w:p w14:paraId="0AF8A73C">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第四步：计算报价得分</w:t>
            </w:r>
          </w:p>
          <w:p w14:paraId="319BDE64">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①投标报价等于评标基准价的得满分。</w:t>
            </w:r>
          </w:p>
          <w:p w14:paraId="0F80FD19">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②投标报价高于评标基准价的，投标报价得分=报价满分值-偏差率×100×1</w:t>
            </w:r>
          </w:p>
          <w:p w14:paraId="28AC896C">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③投标报价低于评标基准价的，投标报价得分=报价满分值-偏差率×100×0.5</w:t>
            </w:r>
          </w:p>
          <w:p w14:paraId="24EBE611">
            <w:pPr>
              <w:autoSpaceDE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注：计算过程中，B值、评标基准价F值、偏差率、报价得分均保留两位小数，小数点后第三位四舍五入。</w:t>
            </w:r>
          </w:p>
        </w:tc>
      </w:tr>
    </w:tbl>
    <w:p w14:paraId="22914EB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商务标评审表注：</w:t>
      </w:r>
    </w:p>
    <w:p w14:paraId="77D6D2B7">
      <w:pPr>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 xml:space="preserve">（1）投标人总报价如超过A值，A值=最高投标限价×（1-J） +（暂列金额+暂估价）×1.09×J（其中J=6%），则商务标不得分，且该投标报价不参与B值计算。 </w:t>
      </w:r>
    </w:p>
    <w:p w14:paraId="36A39EA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（2）只有通过详细评审的投标人才能参加评分。</w:t>
      </w:r>
    </w:p>
    <w:p w14:paraId="2F9F2EB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（3）本表所称投标报价是指按招标文件规定修正后的投标总报价（多算投标报价、多报费用不扣减）。</w:t>
      </w:r>
    </w:p>
    <w:p w14:paraId="5DAA3B7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（4）K值的抽取：资信标、技术标、商务标详细评审完成后，招标人抽取K值，并根据抽取的K值计算F值。评标办法中的评标基准价计算出来后，除数字计算错误外，其他情况均不再调整。</w:t>
      </w:r>
    </w:p>
    <w:p w14:paraId="0F26A31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（5）缺漏项金额是指投标人漏计招标人发布的清单项目，按最高投标限价对应清单综合单价计算缺漏金额。</w:t>
      </w:r>
    </w:p>
    <w:p w14:paraId="47CED93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（6）本表所述累计投标报价缺漏错总额占原投标报价格5%以下者，视为投标人主动让利或包含在其他项目中，不修正总价，工程结算时亦不予调整。</w:t>
      </w:r>
    </w:p>
    <w:p w14:paraId="6EC400FE">
      <w:pPr>
        <w:pStyle w:val="7"/>
        <w:spacing w:before="120" w:beforeLines="50" w:after="120" w:afterLines="50"/>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1.评标方法</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7F7739AE">
      <w:pPr>
        <w:spacing w:line="440" w:lineRule="exact"/>
        <w:ind w:firstLine="420" w:firstLineChars="200"/>
        <w:jc w:val="left"/>
        <w:rPr>
          <w:rFonts w:hint="eastAsia" w:ascii="宋体" w:hAnsi="宋体" w:cs="宋体"/>
          <w:color w:val="auto"/>
          <w:szCs w:val="21"/>
          <w:highlight w:val="none"/>
        </w:rPr>
      </w:pPr>
      <w:bookmarkStart w:id="769" w:name="_Toc324404873"/>
      <w:bookmarkStart w:id="770" w:name="_Toc35424948"/>
      <w:bookmarkStart w:id="771" w:name="_Toc35425114"/>
      <w:bookmarkStart w:id="772" w:name="_Toc15058914"/>
      <w:bookmarkStart w:id="773" w:name="_Toc506107325"/>
      <w:bookmarkStart w:id="774" w:name="_Toc78803382"/>
      <w:bookmarkStart w:id="775" w:name="_Toc11945"/>
      <w:bookmarkStart w:id="776" w:name="_Toc152045590"/>
      <w:bookmarkStart w:id="777" w:name="_Toc179632608"/>
      <w:bookmarkStart w:id="778" w:name="_Toc246996233"/>
      <w:bookmarkStart w:id="779" w:name="_Toc296602478"/>
      <w:bookmarkStart w:id="780" w:name="_Toc246996976"/>
      <w:bookmarkStart w:id="781" w:name="_Toc152042367"/>
      <w:bookmarkStart w:id="782" w:name="_Toc247085748"/>
      <w:bookmarkStart w:id="783" w:name="_Toc144974557"/>
      <w:r>
        <w:rPr>
          <w:rFonts w:hint="eastAsia" w:ascii="宋体" w:hAnsi="宋体" w:cs="宋体"/>
          <w:color w:val="auto"/>
          <w:szCs w:val="21"/>
          <w:highlight w:val="none"/>
        </w:rPr>
        <w:t>本次评标采用综合评估法。评标委员会对满足招标文件实质性要求的投标文件，按照本章规定的评分标准进行打分，并按总得分由高到低顺序推荐中标候选人3名，并标明排序，但投标报价低于其成本的除外。如总得分相等，以投标报价低的优先，投标报价仍相等，由评标委员会主任委员或招标人随机抽取确定排名。</w:t>
      </w:r>
    </w:p>
    <w:p w14:paraId="2F3274F8">
      <w:pPr>
        <w:pStyle w:val="7"/>
        <w:spacing w:before="120" w:beforeLines="50" w:after="120" w:afterLines="50"/>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2.评标委员会的职责</w:t>
      </w:r>
      <w:bookmarkEnd w:id="769"/>
      <w:bookmarkEnd w:id="770"/>
      <w:bookmarkEnd w:id="771"/>
      <w:bookmarkEnd w:id="772"/>
      <w:bookmarkEnd w:id="773"/>
      <w:bookmarkEnd w:id="774"/>
      <w:bookmarkEnd w:id="775"/>
    </w:p>
    <w:p w14:paraId="2382253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587BF194">
      <w:pPr>
        <w:spacing w:line="440" w:lineRule="exact"/>
        <w:ind w:firstLine="420" w:firstLineChars="200"/>
        <w:jc w:val="left"/>
        <w:rPr>
          <w:rFonts w:hint="eastAsia" w:ascii="宋体" w:hAnsi="宋体" w:cs="宋体"/>
          <w:color w:val="auto"/>
          <w:szCs w:val="21"/>
          <w:highlight w:val="none"/>
        </w:rPr>
      </w:pPr>
      <w:bookmarkStart w:id="784" w:name="_Toc17377"/>
      <w:bookmarkStart w:id="785" w:name="_Toc506107326"/>
      <w:bookmarkStart w:id="786" w:name="_Toc35424949"/>
      <w:bookmarkStart w:id="787" w:name="_Toc78803384"/>
      <w:bookmarkStart w:id="788" w:name="_Toc35425115"/>
      <w:bookmarkStart w:id="789" w:name="_Toc324404874"/>
      <w:bookmarkStart w:id="790" w:name="_Toc15058915"/>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3EA0CEBA">
      <w:pPr>
        <w:pStyle w:val="7"/>
        <w:spacing w:before="120" w:beforeLines="50" w:after="120" w:afterLines="50"/>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3.评标程序</w:t>
      </w:r>
      <w:bookmarkEnd w:id="784"/>
      <w:bookmarkEnd w:id="785"/>
      <w:bookmarkEnd w:id="786"/>
      <w:bookmarkEnd w:id="787"/>
      <w:bookmarkEnd w:id="788"/>
      <w:bookmarkEnd w:id="789"/>
      <w:bookmarkEnd w:id="790"/>
    </w:p>
    <w:p w14:paraId="5D4DBFE3">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评标先做准备工作，先进行资信、技术标评审，然后进行商务标评审。</w:t>
      </w:r>
    </w:p>
    <w:p w14:paraId="3B81E92E">
      <w:pPr>
        <w:pStyle w:val="7"/>
        <w:ind w:firstLine="422" w:firstLineChars="200"/>
        <w:rPr>
          <w:rFonts w:hint="eastAsia" w:ascii="宋体" w:hAnsi="宋体" w:eastAsia="宋体" w:cs="宋体"/>
          <w:color w:val="auto"/>
          <w:highlight w:val="none"/>
        </w:rPr>
      </w:pPr>
      <w:bookmarkStart w:id="791" w:name="_Toc15058916"/>
      <w:bookmarkStart w:id="792" w:name="_Toc27389"/>
      <w:bookmarkStart w:id="793" w:name="_Toc78803385"/>
      <w:bookmarkStart w:id="794" w:name="_Toc35425116"/>
      <w:bookmarkStart w:id="795" w:name="_Toc35424950"/>
      <w:r>
        <w:rPr>
          <w:rFonts w:hint="eastAsia" w:ascii="宋体" w:hAnsi="宋体" w:eastAsia="宋体" w:cs="宋体"/>
          <w:color w:val="auto"/>
          <w:highlight w:val="none"/>
        </w:rPr>
        <w:t>3.1评标准备工作</w:t>
      </w:r>
      <w:bookmarkEnd w:id="791"/>
      <w:bookmarkEnd w:id="792"/>
      <w:bookmarkEnd w:id="793"/>
      <w:bookmarkEnd w:id="794"/>
      <w:bookmarkEnd w:id="795"/>
    </w:p>
    <w:p w14:paraId="5A9A46D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评标委员会熟悉评标工作情况：</w:t>
      </w:r>
    </w:p>
    <w:p w14:paraId="306DE0F3">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329BC5B2">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34DC0BA9">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499F6B8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（4）核对评标工作用表。</w:t>
      </w:r>
    </w:p>
    <w:p w14:paraId="2DA51447">
      <w:pPr>
        <w:pStyle w:val="7"/>
        <w:ind w:firstLine="422" w:firstLineChars="200"/>
        <w:rPr>
          <w:rFonts w:hint="eastAsia" w:ascii="宋体" w:hAnsi="宋体" w:eastAsia="宋体" w:cs="宋体"/>
          <w:color w:val="auto"/>
          <w:highlight w:val="none"/>
        </w:rPr>
      </w:pPr>
      <w:bookmarkStart w:id="796" w:name="_Toc1299"/>
      <w:bookmarkStart w:id="797" w:name="_Toc78803386"/>
      <w:bookmarkStart w:id="798" w:name="_Toc24650"/>
      <w:bookmarkStart w:id="799" w:name="_Toc35424951"/>
      <w:bookmarkStart w:id="800" w:name="_Toc35425117"/>
      <w:bookmarkStart w:id="801" w:name="_Toc15058917"/>
      <w:bookmarkStart w:id="802" w:name="_Toc506107327"/>
      <w:bookmarkStart w:id="803" w:name="_Toc35424954"/>
      <w:bookmarkStart w:id="804" w:name="_Toc12200"/>
      <w:bookmarkStart w:id="805" w:name="_Toc324404875"/>
      <w:bookmarkStart w:id="806" w:name="_Toc35425120"/>
      <w:bookmarkStart w:id="807" w:name="_Toc15058919"/>
      <w:r>
        <w:rPr>
          <w:rFonts w:hint="eastAsia" w:ascii="宋体" w:hAnsi="宋体" w:eastAsia="宋体" w:cs="宋体"/>
          <w:color w:val="auto"/>
          <w:highlight w:val="none"/>
        </w:rPr>
        <w:t>3.2技术标评审</w:t>
      </w:r>
      <w:bookmarkEnd w:id="796"/>
      <w:bookmarkEnd w:id="797"/>
      <w:bookmarkEnd w:id="798"/>
      <w:bookmarkEnd w:id="799"/>
      <w:bookmarkEnd w:id="800"/>
      <w:bookmarkEnd w:id="801"/>
    </w:p>
    <w:p w14:paraId="5681F5A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详见技术标评审表。</w:t>
      </w:r>
    </w:p>
    <w:p w14:paraId="7C36ADF6">
      <w:pPr>
        <w:pStyle w:val="7"/>
        <w:ind w:firstLine="422" w:firstLineChars="200"/>
        <w:rPr>
          <w:rFonts w:hint="eastAsia" w:ascii="宋体" w:hAnsi="宋体" w:eastAsia="宋体" w:cs="宋体"/>
          <w:color w:val="auto"/>
          <w:highlight w:val="none"/>
        </w:rPr>
      </w:pPr>
      <w:bookmarkStart w:id="808" w:name="_Toc78803387"/>
      <w:bookmarkStart w:id="809" w:name="_Toc17468"/>
      <w:bookmarkStart w:id="810" w:name="_Toc35425118"/>
      <w:bookmarkStart w:id="811" w:name="_Toc15058918"/>
      <w:bookmarkStart w:id="812" w:name="_Toc11990"/>
      <w:bookmarkStart w:id="813" w:name="_Toc35424952"/>
      <w:r>
        <w:rPr>
          <w:rFonts w:hint="eastAsia" w:ascii="宋体" w:hAnsi="宋体" w:eastAsia="宋体" w:cs="宋体"/>
          <w:color w:val="auto"/>
          <w:highlight w:val="none"/>
        </w:rPr>
        <w:t>3.3商务标评审</w:t>
      </w:r>
      <w:bookmarkEnd w:id="808"/>
      <w:bookmarkEnd w:id="809"/>
      <w:bookmarkEnd w:id="810"/>
      <w:bookmarkEnd w:id="811"/>
      <w:bookmarkEnd w:id="812"/>
      <w:bookmarkEnd w:id="813"/>
    </w:p>
    <w:p w14:paraId="5DA53C7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详见商务标评审表。</w:t>
      </w:r>
    </w:p>
    <w:p w14:paraId="7571F312">
      <w:pPr>
        <w:spacing w:line="440" w:lineRule="exact"/>
        <w:ind w:firstLine="422" w:firstLineChars="200"/>
        <w:jc w:val="left"/>
        <w:rPr>
          <w:rStyle w:val="198"/>
          <w:rFonts w:hint="eastAsia" w:ascii="宋体" w:hAnsi="宋体" w:eastAsia="宋体" w:cs="宋体"/>
          <w:color w:val="auto"/>
          <w:highlight w:val="none"/>
        </w:rPr>
      </w:pPr>
      <w:bookmarkStart w:id="814" w:name="_Toc35424953"/>
      <w:bookmarkStart w:id="815" w:name="_Toc18087"/>
      <w:bookmarkStart w:id="816" w:name="_Toc78803388"/>
      <w:bookmarkStart w:id="817" w:name="_Toc35425119"/>
      <w:bookmarkStart w:id="818" w:name="_Toc26895"/>
      <w:r>
        <w:rPr>
          <w:rStyle w:val="198"/>
          <w:rFonts w:hint="eastAsia" w:ascii="宋体" w:hAnsi="宋体" w:eastAsia="宋体" w:cs="宋体"/>
          <w:color w:val="auto"/>
          <w:highlight w:val="none"/>
        </w:rPr>
        <w:t>3.4推荐中标候选人</w:t>
      </w:r>
      <w:bookmarkEnd w:id="814"/>
      <w:bookmarkEnd w:id="815"/>
      <w:bookmarkEnd w:id="816"/>
      <w:bookmarkEnd w:id="817"/>
      <w:bookmarkEnd w:id="818"/>
    </w:p>
    <w:p w14:paraId="40AED062">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资信评审、技术标评审、商务标评审后，推荐</w:t>
      </w:r>
      <w:r>
        <w:rPr>
          <w:rFonts w:hint="eastAsia" w:ascii="宋体" w:hAnsi="宋体" w:cs="宋体"/>
          <w:color w:val="auto"/>
          <w:szCs w:val="21"/>
          <w:highlight w:val="none"/>
          <w:u w:val="single"/>
        </w:rPr>
        <w:t>3</w:t>
      </w:r>
      <w:r>
        <w:rPr>
          <w:rFonts w:hint="eastAsia" w:ascii="宋体" w:hAnsi="宋体" w:cs="宋体"/>
          <w:color w:val="auto"/>
          <w:szCs w:val="21"/>
          <w:highlight w:val="none"/>
        </w:rPr>
        <w:t>名中标候选人，并标明排序。</w:t>
      </w:r>
    </w:p>
    <w:p w14:paraId="17F9EE93">
      <w:pPr>
        <w:pStyle w:val="7"/>
        <w:spacing w:before="120" w:beforeLines="50" w:after="120" w:afterLines="50"/>
        <w:ind w:firstLine="422" w:firstLineChars="200"/>
        <w:rPr>
          <w:rFonts w:hint="eastAsia" w:ascii="宋体" w:hAnsi="宋体" w:eastAsia="宋体" w:cs="宋体"/>
          <w:color w:val="auto"/>
          <w:highlight w:val="none"/>
        </w:rPr>
      </w:pPr>
      <w:bookmarkStart w:id="819" w:name="_Toc78803389"/>
      <w:r>
        <w:rPr>
          <w:rFonts w:hint="eastAsia" w:ascii="宋体" w:hAnsi="宋体" w:eastAsia="宋体" w:cs="宋体"/>
          <w:color w:val="auto"/>
          <w:highlight w:val="none"/>
        </w:rPr>
        <w:t>4.评审内容</w:t>
      </w:r>
      <w:bookmarkEnd w:id="802"/>
      <w:bookmarkEnd w:id="803"/>
      <w:bookmarkEnd w:id="804"/>
      <w:bookmarkEnd w:id="805"/>
      <w:bookmarkEnd w:id="806"/>
      <w:bookmarkEnd w:id="807"/>
      <w:bookmarkEnd w:id="819"/>
    </w:p>
    <w:p w14:paraId="335F2B52">
      <w:pPr>
        <w:autoSpaceDE w:val="0"/>
        <w:spacing w:line="440" w:lineRule="exact"/>
        <w:ind w:firstLine="420" w:firstLineChars="200"/>
        <w:jc w:val="left"/>
        <w:rPr>
          <w:rFonts w:hint="eastAsia" w:ascii="宋体" w:hAnsi="宋体" w:cs="宋体"/>
          <w:b/>
          <w:bCs/>
          <w:color w:val="auto"/>
          <w:szCs w:val="21"/>
          <w:highlight w:val="none"/>
        </w:rPr>
      </w:pPr>
      <w:bookmarkStart w:id="820" w:name="_Toc78803390"/>
      <w:bookmarkStart w:id="821" w:name="_Toc9630"/>
      <w:r>
        <w:rPr>
          <w:rFonts w:hint="eastAsia" w:ascii="宋体" w:hAnsi="宋体" w:cs="宋体"/>
          <w:color w:val="auto"/>
          <w:highlight w:val="none"/>
        </w:rPr>
        <w:t>4.1</w:t>
      </w:r>
      <w:bookmarkEnd w:id="820"/>
      <w:bookmarkEnd w:id="821"/>
      <w:bookmarkStart w:id="822" w:name="_Toc506107328"/>
      <w:bookmarkStart w:id="823" w:name="_Toc15058922"/>
      <w:bookmarkStart w:id="824" w:name="_Toc35424957"/>
      <w:bookmarkStart w:id="825" w:name="_Toc78803392"/>
      <w:bookmarkStart w:id="826" w:name="_Toc13125"/>
      <w:bookmarkStart w:id="827" w:name="_Toc324404876"/>
      <w:bookmarkStart w:id="828" w:name="_Toc35425123"/>
      <w:r>
        <w:rPr>
          <w:rFonts w:hint="eastAsia" w:ascii="宋体" w:hAnsi="宋体" w:cs="宋体"/>
          <w:b/>
          <w:bCs/>
          <w:color w:val="auto"/>
          <w:szCs w:val="21"/>
          <w:highlight w:val="none"/>
          <w:lang w:bidi="ar"/>
        </w:rPr>
        <w:t>技术标评审</w:t>
      </w:r>
    </w:p>
    <w:p w14:paraId="5CF9F17D">
      <w:pPr>
        <w:autoSpaceDE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4.1.1形式性评审标准：见技术标评审表。</w:t>
      </w:r>
    </w:p>
    <w:p w14:paraId="191AAC41">
      <w:pPr>
        <w:autoSpaceDE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4.1.2响应性评审标准：见技术标评审表。</w:t>
      </w:r>
    </w:p>
    <w:p w14:paraId="5C344B45">
      <w:pPr>
        <w:autoSpaceDE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评标委员会依据上述标准对投标文件进行评审。有一项不符合评审标准的，作无效投标处理。对投标人的技术标进行符合性评审，评审结论采用合格制。其中6-9中有一项不合格的，或其他项中有三项及以上不合格的，技术标即为不合格。对否定的技术标，评标委员会要提出充足的否定理由，并填写在技术标评标记录上。</w:t>
      </w:r>
    </w:p>
    <w:p w14:paraId="75ED97D0">
      <w:pPr>
        <w:autoSpaceDE w:val="0"/>
        <w:spacing w:line="44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lang w:bidi="ar"/>
        </w:rPr>
        <w:t>4.2商务标评审</w:t>
      </w:r>
    </w:p>
    <w:p w14:paraId="12F5CE03">
      <w:pPr>
        <w:autoSpaceDE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只有通过技术标评审的投标才能够进入本阶段评审。</w:t>
      </w:r>
    </w:p>
    <w:p w14:paraId="3E1163DA">
      <w:pPr>
        <w:autoSpaceDE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4.2.1形式性评审标准：见商务标评审表。</w:t>
      </w:r>
    </w:p>
    <w:p w14:paraId="0547A2D2">
      <w:pPr>
        <w:autoSpaceDE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4.2.2响应性评审标准：见商务标评审表。</w:t>
      </w:r>
    </w:p>
    <w:p w14:paraId="18AEB071">
      <w:pPr>
        <w:autoSpaceDE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评标委员会依据上述标准对投标文件进行初步评审。有一项不符合评审标准的，作无效投标处理。</w:t>
      </w:r>
    </w:p>
    <w:p w14:paraId="5EECE7AC">
      <w:pPr>
        <w:autoSpaceDE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4.2.3投标报价评审</w:t>
      </w:r>
    </w:p>
    <w:p w14:paraId="1C3FEF88">
      <w:pPr>
        <w:autoSpaceDE w:val="0"/>
        <w:spacing w:line="44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lang w:bidi="ar"/>
        </w:rPr>
        <w:t>评标委员会发现投标人的投标报价明显低于其他投标报价，有可能影响服务质量或者不能诚信履约的，应当要求其在评标现场合理的时间内提供证明材料；投标人不能证明其报价合理性的，评标委员会应当将其作为无效投标处理</w:t>
      </w:r>
    </w:p>
    <w:p w14:paraId="2C1F5976">
      <w:pPr>
        <w:autoSpaceDE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4.2.4评标委员会审查投标文件，包括工程投标报价的校核、审查全部数据计算的正确性、分析各种费用构成的合理性和正确性等内容，看其是否有计算或表达上的错误，投标报价有错误的，评标委员会按以下原则对投标报价进行修正。</w:t>
      </w:r>
    </w:p>
    <w:p w14:paraId="276ACA14">
      <w:pPr>
        <w:autoSpaceDE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（1）投标文件中的大写金额与小写金额不一致的，以大写金额为准。</w:t>
      </w:r>
    </w:p>
    <w:p w14:paraId="5F10A614">
      <w:pPr>
        <w:autoSpaceDE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（2）总价金额与依据单价计算出的结果不一致的，以单价金额为准修正总价，但单价金额小数点有明显错误的除外。</w:t>
      </w:r>
    </w:p>
    <w:p w14:paraId="6985889F">
      <w:pPr>
        <w:autoSpaceDE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（3）工程量清单报价表中综合单价与工程量清单项目价格分析表相对应综合单价不一致时，以工程量清单项目价格分析表中标出的综合单价为准。</w:t>
      </w:r>
    </w:p>
    <w:p w14:paraId="2D3ADD14">
      <w:pPr>
        <w:spacing w:line="440" w:lineRule="exact"/>
        <w:ind w:firstLine="420" w:firstLineChars="200"/>
        <w:jc w:val="left"/>
        <w:rPr>
          <w:rFonts w:hint="eastAsia" w:ascii="宋体" w:hAnsi="宋体" w:cs="宋体"/>
          <w:color w:val="auto"/>
          <w:highlight w:val="none"/>
        </w:rPr>
      </w:pPr>
      <w:r>
        <w:rPr>
          <w:rFonts w:hint="eastAsia" w:ascii="宋体" w:hAnsi="宋体" w:cs="宋体"/>
          <w:color w:val="auto"/>
          <w:szCs w:val="21"/>
          <w:highlight w:val="none"/>
          <w:lang w:bidi="ar"/>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r>
        <w:rPr>
          <w:rFonts w:hint="eastAsia" w:ascii="宋体" w:hAnsi="宋体" w:cs="宋体"/>
          <w:color w:val="auto"/>
          <w:highlight w:val="none"/>
        </w:rPr>
        <w:t>。</w:t>
      </w:r>
    </w:p>
    <w:p w14:paraId="2565C50E">
      <w:pPr>
        <w:pStyle w:val="7"/>
        <w:spacing w:before="120" w:beforeLines="50" w:after="120" w:afterLines="50"/>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5.无效投标条款</w:t>
      </w:r>
      <w:bookmarkEnd w:id="822"/>
      <w:bookmarkEnd w:id="823"/>
      <w:bookmarkEnd w:id="824"/>
      <w:bookmarkEnd w:id="825"/>
      <w:bookmarkEnd w:id="826"/>
      <w:bookmarkEnd w:id="827"/>
      <w:bookmarkEnd w:id="828"/>
    </w:p>
    <w:p w14:paraId="362F12A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60A5B64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（1）未在投标截止时间前通过邮箱递交有效电子投标文件的，投标将被拒绝。</w:t>
      </w:r>
    </w:p>
    <w:p w14:paraId="7CFF5FB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5.2投标人有下列情形的，经评审后其投标作无效投标处理：</w:t>
      </w:r>
    </w:p>
    <w:p w14:paraId="75ADE1C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5.2.1技术标评审</w:t>
      </w:r>
    </w:p>
    <w:p w14:paraId="32FAC09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（1）评标委员会依据《技术标评审表》进行形式性评审和响应性评审。有一项不符合评审标准的，做无效投标处理；</w:t>
      </w:r>
    </w:p>
    <w:p w14:paraId="0E4A4D3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评标委员会依据《技术标评审表》对投标人的技术标进行符合性评审，评审结论采用合格制。其中6-9中有一项不合格的，或其他项中有三项及以上不合格的，技术标即为不合格；对否定的技术标，评标委员会要提出充足的否定理由，并填写在技术标评标记录上。</w:t>
      </w:r>
    </w:p>
    <w:p w14:paraId="35730F3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5.2.2商务标评审</w:t>
      </w:r>
    </w:p>
    <w:p w14:paraId="336CF25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评标委员会依据《商务标评审表》进行形式性评审和响应性评审。有一项不符合评审标准的，做无效投标处理；</w:t>
      </w:r>
    </w:p>
    <w:p w14:paraId="2252576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5.3其他无效投标情况：</w:t>
      </w:r>
    </w:p>
    <w:p w14:paraId="0743FFF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28EC0857">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（2）按第三章《评标方法》4.1.4条款修正错误的原则及方法调整或修正投标文件的投标报价，调整或修正的价格经投标人书面确认后具有约束力。投标人不接修正价格的，其投标将被拒绝。</w:t>
      </w:r>
    </w:p>
    <w:p w14:paraId="58B777C9">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（3）投标人有串通投标、视为串通投标、弄虚作假、行贿等违法行为。</w:t>
      </w:r>
    </w:p>
    <w:p w14:paraId="6F8B69D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14:paraId="60B050F3">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（5）未按规定的格式填写导致实质性内容不全以及实质上不响应，或者关键字迹模糊、无法辨认的。</w:t>
      </w:r>
    </w:p>
    <w:p w14:paraId="7139B2A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（6）同一投标人提交两个以上不同的投标文件或者投标报价，但招标文件规定提交备选投标的除外。</w:t>
      </w:r>
    </w:p>
    <w:p w14:paraId="571BB90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（7）投标文件中存在招标人不能接受的其他实质性条件。</w:t>
      </w:r>
    </w:p>
    <w:p w14:paraId="69146E5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（8）投标文件中填报的拟任项目经理（建造师）与资格审查通过的项目经理（建造师）前后不一致的。</w:t>
      </w:r>
    </w:p>
    <w:p w14:paraId="198FA5C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（9）投标人拒不按照要求对投标文件进行澄清、说明、补正的，或评标委员会根据招标文件的规定对招标文件的计算错误进行修正后，投标人不接受修正的投标报价的。</w:t>
      </w:r>
    </w:p>
    <w:p w14:paraId="62410CF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（10）投标人单方面出现其他投标人材料。</w:t>
      </w:r>
    </w:p>
    <w:p w14:paraId="7753691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（11）投标人联系人或联系电话相同的。</w:t>
      </w:r>
    </w:p>
    <w:p w14:paraId="19F1DA53">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（12）法律、法规规定的其他情形。</w:t>
      </w:r>
    </w:p>
    <w:p w14:paraId="568D7F76">
      <w:pPr>
        <w:pStyle w:val="7"/>
        <w:spacing w:before="120" w:beforeLines="50" w:after="120" w:afterLines="50"/>
        <w:ind w:firstLine="422" w:firstLineChars="200"/>
        <w:rPr>
          <w:rFonts w:hint="eastAsia" w:ascii="宋体" w:hAnsi="宋体" w:eastAsia="宋体" w:cs="宋体"/>
          <w:color w:val="auto"/>
          <w:highlight w:val="none"/>
        </w:rPr>
      </w:pPr>
      <w:bookmarkStart w:id="829" w:name="_Toc506107329"/>
      <w:bookmarkStart w:id="830" w:name="_Toc27846"/>
      <w:bookmarkStart w:id="831" w:name="_Toc35424958"/>
      <w:bookmarkStart w:id="832" w:name="_Toc35425124"/>
      <w:bookmarkStart w:id="833" w:name="_Toc78803393"/>
      <w:bookmarkStart w:id="834" w:name="_Toc324404877"/>
      <w:bookmarkStart w:id="835" w:name="_Toc15058923"/>
      <w:r>
        <w:rPr>
          <w:rFonts w:hint="eastAsia" w:ascii="宋体" w:hAnsi="宋体" w:eastAsia="宋体" w:cs="宋体"/>
          <w:color w:val="auto"/>
          <w:highlight w:val="none"/>
        </w:rPr>
        <w:t>6.投标文件的澄清和补正</w:t>
      </w:r>
      <w:bookmarkEnd w:id="829"/>
      <w:bookmarkEnd w:id="830"/>
      <w:bookmarkEnd w:id="831"/>
      <w:bookmarkEnd w:id="832"/>
      <w:bookmarkEnd w:id="833"/>
      <w:bookmarkEnd w:id="834"/>
      <w:bookmarkEnd w:id="835"/>
    </w:p>
    <w:p w14:paraId="70718F8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7124A45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4D62E3E3">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247FFB1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326C92E1">
      <w:pPr>
        <w:pStyle w:val="7"/>
        <w:spacing w:before="120" w:beforeLines="50" w:after="120" w:afterLines="50"/>
        <w:ind w:firstLine="422" w:firstLineChars="200"/>
        <w:rPr>
          <w:rFonts w:hint="eastAsia" w:ascii="宋体" w:hAnsi="宋体" w:eastAsia="宋体" w:cs="宋体"/>
          <w:color w:val="auto"/>
          <w:highlight w:val="none"/>
        </w:rPr>
      </w:pPr>
      <w:bookmarkStart w:id="836" w:name="_Toc324404878"/>
      <w:bookmarkStart w:id="837" w:name="_Toc35424959"/>
      <w:bookmarkStart w:id="838" w:name="_Toc15058924"/>
      <w:bookmarkStart w:id="839" w:name="_Toc13990"/>
      <w:bookmarkStart w:id="840" w:name="_Toc78803394"/>
      <w:bookmarkStart w:id="841" w:name="_Toc506107330"/>
      <w:bookmarkStart w:id="842" w:name="_Toc35425125"/>
      <w:r>
        <w:rPr>
          <w:rFonts w:hint="eastAsia" w:ascii="宋体" w:hAnsi="宋体" w:eastAsia="宋体" w:cs="宋体"/>
          <w:color w:val="auto"/>
          <w:highlight w:val="none"/>
        </w:rPr>
        <w:t>7.评分标准</w:t>
      </w:r>
      <w:bookmarkEnd w:id="836"/>
      <w:bookmarkEnd w:id="837"/>
      <w:bookmarkEnd w:id="838"/>
      <w:bookmarkEnd w:id="839"/>
      <w:bookmarkEnd w:id="840"/>
      <w:bookmarkEnd w:id="841"/>
      <w:bookmarkEnd w:id="842"/>
    </w:p>
    <w:p w14:paraId="3691DCE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商务标评分标准：见商务标评审表。</w:t>
      </w:r>
    </w:p>
    <w:p w14:paraId="4A2E0F0C">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技术标评分标准：见技术标评审表。</w:t>
      </w:r>
    </w:p>
    <w:p w14:paraId="3E77B6E2">
      <w:pPr>
        <w:pStyle w:val="7"/>
        <w:spacing w:before="120" w:beforeLines="50" w:after="120" w:afterLines="50"/>
        <w:ind w:firstLine="422" w:firstLineChars="200"/>
        <w:rPr>
          <w:rFonts w:hint="eastAsia" w:ascii="宋体" w:hAnsi="宋体" w:eastAsia="宋体" w:cs="宋体"/>
          <w:color w:val="auto"/>
          <w:highlight w:val="none"/>
        </w:rPr>
      </w:pPr>
      <w:bookmarkStart w:id="843" w:name="_Toc78803395"/>
      <w:bookmarkStart w:id="844" w:name="_Toc506107331"/>
      <w:bookmarkStart w:id="845" w:name="_Toc324404879"/>
      <w:bookmarkStart w:id="846" w:name="_Toc15058925"/>
      <w:bookmarkStart w:id="847" w:name="_Toc22863"/>
      <w:bookmarkStart w:id="848" w:name="_Toc35424960"/>
      <w:bookmarkStart w:id="849" w:name="_Toc35425126"/>
      <w:r>
        <w:rPr>
          <w:rFonts w:hint="eastAsia" w:ascii="宋体" w:hAnsi="宋体" w:eastAsia="宋体" w:cs="宋体"/>
          <w:color w:val="auto"/>
          <w:highlight w:val="none"/>
        </w:rPr>
        <w:t>8.评审结果</w:t>
      </w:r>
      <w:bookmarkEnd w:id="843"/>
      <w:bookmarkEnd w:id="844"/>
      <w:bookmarkEnd w:id="845"/>
      <w:bookmarkEnd w:id="846"/>
      <w:bookmarkEnd w:id="847"/>
      <w:bookmarkEnd w:id="848"/>
      <w:bookmarkEnd w:id="849"/>
    </w:p>
    <w:p w14:paraId="727F602A">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8.1除投标人须知前附表授权直接确定中标人外，评标委员会按照总得分由高到低顺序推荐中标候选人。</w:t>
      </w:r>
    </w:p>
    <w:p w14:paraId="78AEFFC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35339E1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（1）基本情况和数据表。</w:t>
      </w:r>
    </w:p>
    <w:p w14:paraId="251A1A0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（2）评标委员会成员名单。</w:t>
      </w:r>
    </w:p>
    <w:p w14:paraId="0B4184E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（3）开标记录。</w:t>
      </w:r>
    </w:p>
    <w:p w14:paraId="45B8859C">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（4）符合要求的投标人一览表。</w:t>
      </w:r>
    </w:p>
    <w:p w14:paraId="33A54537">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（5）否决投标情况说明。</w:t>
      </w:r>
    </w:p>
    <w:p w14:paraId="23DB84F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（6）评标标准、评标方法或者评标因素。</w:t>
      </w:r>
    </w:p>
    <w:p w14:paraId="073E2E6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（7）评标情况一览表。</w:t>
      </w:r>
    </w:p>
    <w:p w14:paraId="1CD7490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（8）经评审的投标人排序。</w:t>
      </w:r>
    </w:p>
    <w:p w14:paraId="2268717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（9）推荐的中标候选人名单与签订合同前要处理的事宜。</w:t>
      </w:r>
    </w:p>
    <w:p w14:paraId="6B107B3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（10）澄清、说明、补正事项纪要。</w:t>
      </w:r>
    </w:p>
    <w:p w14:paraId="3C41592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DD51CF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00C42E1A">
      <w:pPr>
        <w:pStyle w:val="7"/>
        <w:spacing w:before="120" w:beforeLines="50" w:after="120" w:afterLines="50"/>
        <w:ind w:firstLine="422" w:firstLineChars="200"/>
        <w:rPr>
          <w:rFonts w:hint="eastAsia" w:ascii="宋体" w:hAnsi="宋体" w:eastAsia="宋体" w:cs="宋体"/>
          <w:color w:val="auto"/>
          <w:highlight w:val="none"/>
        </w:rPr>
      </w:pPr>
      <w:bookmarkStart w:id="850" w:name="_Toc1576"/>
      <w:bookmarkStart w:id="851" w:name="_Toc35425127"/>
      <w:bookmarkStart w:id="852" w:name="_Toc15058926"/>
      <w:bookmarkStart w:id="853" w:name="_Toc324404880"/>
      <w:bookmarkStart w:id="854" w:name="_Toc506107332"/>
      <w:bookmarkStart w:id="855" w:name="_Toc35424961"/>
      <w:bookmarkStart w:id="856" w:name="_Toc78803396"/>
      <w:r>
        <w:rPr>
          <w:rFonts w:hint="eastAsia" w:ascii="宋体" w:hAnsi="宋体" w:eastAsia="宋体" w:cs="宋体"/>
          <w:color w:val="auto"/>
          <w:highlight w:val="none"/>
        </w:rPr>
        <w:t>9.其他</w:t>
      </w:r>
      <w:bookmarkEnd w:id="850"/>
      <w:bookmarkEnd w:id="851"/>
      <w:bookmarkEnd w:id="852"/>
      <w:bookmarkEnd w:id="853"/>
      <w:bookmarkEnd w:id="854"/>
      <w:bookmarkEnd w:id="855"/>
      <w:bookmarkEnd w:id="856"/>
    </w:p>
    <w:bookmarkEnd w:id="776"/>
    <w:bookmarkEnd w:id="777"/>
    <w:bookmarkEnd w:id="778"/>
    <w:bookmarkEnd w:id="779"/>
    <w:bookmarkEnd w:id="780"/>
    <w:bookmarkEnd w:id="781"/>
    <w:bookmarkEnd w:id="782"/>
    <w:bookmarkEnd w:id="783"/>
    <w:p w14:paraId="22A75D09">
      <w:pPr>
        <w:spacing w:line="440" w:lineRule="exact"/>
        <w:ind w:firstLine="420" w:firstLineChars="200"/>
        <w:jc w:val="left"/>
        <w:rPr>
          <w:rFonts w:hint="eastAsia" w:ascii="宋体" w:hAnsi="宋体" w:cs="宋体"/>
          <w:color w:val="auto"/>
          <w:szCs w:val="21"/>
          <w:highlight w:val="none"/>
        </w:rPr>
      </w:pPr>
      <w:bookmarkStart w:id="857" w:name="_Toc35424962"/>
      <w:bookmarkStart w:id="858" w:name="_Toc35425128"/>
      <w:bookmarkStart w:id="859" w:name="_Toc15058927"/>
      <w:bookmarkStart w:id="860" w:name="_Toc506107333"/>
      <w:bookmarkStart w:id="861" w:name="_Toc152045767"/>
      <w:bookmarkStart w:id="862" w:name="_Toc144974826"/>
      <w:bookmarkStart w:id="863" w:name="_Toc152042546"/>
      <w:bookmarkStart w:id="864" w:name="_Toc179632785"/>
      <w:r>
        <w:rPr>
          <w:rFonts w:hint="eastAsia" w:ascii="宋体" w:hAnsi="宋体" w:cs="宋体"/>
          <w:color w:val="auto"/>
          <w:szCs w:val="21"/>
          <w:highlight w:val="none"/>
        </w:rPr>
        <w:t>投标人提供的与投标文件有关的各类证书、证明、文件、资料等的真实性、合法性由投标人负全责。</w:t>
      </w:r>
    </w:p>
    <w:p w14:paraId="4ED3D993">
      <w:pPr>
        <w:rPr>
          <w:color w:val="auto"/>
          <w:highlight w:val="none"/>
        </w:rPr>
      </w:pPr>
    </w:p>
    <w:p w14:paraId="5632B08D">
      <w:pPr>
        <w:rPr>
          <w:color w:val="auto"/>
          <w:highlight w:val="none"/>
        </w:rPr>
      </w:pPr>
      <w:r>
        <w:rPr>
          <w:rFonts w:hint="eastAsia"/>
          <w:color w:val="auto"/>
          <w:highlight w:val="none"/>
        </w:rPr>
        <w:br w:type="page"/>
      </w:r>
      <w:bookmarkStart w:id="865" w:name="_Toc78803397"/>
    </w:p>
    <w:bookmarkEnd w:id="857"/>
    <w:bookmarkEnd w:id="858"/>
    <w:bookmarkEnd w:id="859"/>
    <w:bookmarkEnd w:id="860"/>
    <w:bookmarkEnd w:id="865"/>
    <w:p w14:paraId="04B6531C">
      <w:pPr>
        <w:pStyle w:val="6"/>
        <w:rPr>
          <w:rFonts w:ascii="Arial" w:hAnsi="Arial"/>
          <w:color w:val="auto"/>
          <w:kern w:val="0"/>
          <w:sz w:val="32"/>
          <w:szCs w:val="32"/>
          <w:highlight w:val="none"/>
        </w:rPr>
      </w:pPr>
      <w:bookmarkStart w:id="866" w:name="_Toc16721"/>
    </w:p>
    <w:p w14:paraId="6EF68B84">
      <w:pPr>
        <w:pStyle w:val="6"/>
        <w:rPr>
          <w:color w:val="auto"/>
          <w:highlight w:val="none"/>
        </w:rPr>
      </w:pPr>
      <w:bookmarkStart w:id="867" w:name="_Toc27074"/>
      <w:bookmarkStart w:id="868" w:name="_Toc8750"/>
      <w:r>
        <w:rPr>
          <w:rFonts w:hint="eastAsia" w:ascii="Arial" w:hAnsi="Arial"/>
          <w:color w:val="auto"/>
          <w:kern w:val="0"/>
          <w:sz w:val="32"/>
          <w:szCs w:val="32"/>
          <w:highlight w:val="none"/>
        </w:rPr>
        <w:t>第四章  合同条款及格式</w:t>
      </w:r>
      <w:bookmarkEnd w:id="866"/>
      <w:bookmarkEnd w:id="867"/>
      <w:bookmarkEnd w:id="868"/>
    </w:p>
    <w:p w14:paraId="687753C6">
      <w:pPr>
        <w:spacing w:line="360" w:lineRule="auto"/>
        <w:jc w:val="center"/>
        <w:rPr>
          <w:rFonts w:ascii="仿宋_GB2312" w:eastAsia="仿宋_GB2312"/>
          <w:b/>
          <w:color w:val="auto"/>
          <w:sz w:val="28"/>
          <w:szCs w:val="28"/>
          <w:highlight w:val="none"/>
        </w:rPr>
      </w:pPr>
    </w:p>
    <w:p w14:paraId="2C8770EC">
      <w:pPr>
        <w:rPr>
          <w:rFonts w:eastAsia="仿宋_GB2312"/>
          <w:bCs/>
          <w:color w:val="auto"/>
          <w:sz w:val="32"/>
          <w:szCs w:val="32"/>
          <w:highlight w:val="none"/>
          <w:u w:val="single"/>
        </w:rPr>
      </w:pPr>
      <w:bookmarkStart w:id="869" w:name="_Toc60061567"/>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（HT-YL- ）</w:t>
      </w:r>
    </w:p>
    <w:p w14:paraId="1444F69F">
      <w:pPr>
        <w:jc w:val="center"/>
        <w:rPr>
          <w:rFonts w:eastAsia="华文中宋"/>
          <w:b/>
          <w:color w:val="auto"/>
          <w:sz w:val="52"/>
          <w:szCs w:val="52"/>
          <w:highlight w:val="none"/>
        </w:rPr>
      </w:pPr>
    </w:p>
    <w:p w14:paraId="7DCF403A">
      <w:pPr>
        <w:ind w:firstLine="1771" w:firstLineChars="245"/>
        <w:rPr>
          <w:rFonts w:hint="eastAsia" w:ascii="宋体" w:hAnsi="宋体" w:cs="宋体"/>
          <w:b/>
          <w:color w:val="auto"/>
          <w:sz w:val="72"/>
          <w:szCs w:val="52"/>
          <w:highlight w:val="none"/>
        </w:rPr>
      </w:pPr>
    </w:p>
    <w:p w14:paraId="2C777D87">
      <w:pPr>
        <w:ind w:firstLine="1771" w:firstLineChars="245"/>
        <w:rPr>
          <w:rFonts w:hint="eastAsia" w:ascii="宋体" w:hAnsi="宋体" w:cs="宋体"/>
          <w:b/>
          <w:color w:val="auto"/>
          <w:sz w:val="72"/>
          <w:szCs w:val="52"/>
          <w:highlight w:val="none"/>
        </w:rPr>
      </w:pPr>
    </w:p>
    <w:p w14:paraId="0101C005">
      <w:pPr>
        <w:ind w:firstLine="1771" w:firstLineChars="245"/>
        <w:rPr>
          <w:rFonts w:eastAsia="华文中宋"/>
          <w:b/>
          <w:color w:val="auto"/>
          <w:sz w:val="52"/>
          <w:szCs w:val="52"/>
          <w:highlight w:val="none"/>
        </w:rPr>
      </w:pPr>
      <w:r>
        <w:rPr>
          <w:rFonts w:hint="eastAsia" w:ascii="宋体" w:hAnsi="宋体" w:cs="宋体"/>
          <w:b/>
          <w:color w:val="auto"/>
          <w:sz w:val="72"/>
          <w:szCs w:val="52"/>
          <w:highlight w:val="none"/>
        </w:rPr>
        <w:t>建设工程施工合同</w:t>
      </w:r>
      <w:r>
        <w:rPr>
          <w:rFonts w:eastAsia="华文中宋"/>
          <w:b/>
          <w:color w:val="auto"/>
          <w:sz w:val="52"/>
          <w:szCs w:val="52"/>
          <w:highlight w:val="none"/>
        </w:rPr>
        <w:br w:type="textWrapping"/>
      </w:r>
      <w:r>
        <w:rPr>
          <w:rFonts w:eastAsia="华文中宋"/>
          <w:b/>
          <w:color w:val="auto"/>
          <w:sz w:val="52"/>
          <w:szCs w:val="52"/>
          <w:highlight w:val="none"/>
        </w:rPr>
        <w:t xml:space="preserve"> </w:t>
      </w:r>
    </w:p>
    <w:p w14:paraId="3CBC07EE">
      <w:pPr>
        <w:jc w:val="center"/>
        <w:rPr>
          <w:rFonts w:eastAsia="华文中宋"/>
          <w:b/>
          <w:color w:val="auto"/>
          <w:sz w:val="52"/>
          <w:szCs w:val="52"/>
          <w:highlight w:val="none"/>
        </w:rPr>
      </w:pPr>
    </w:p>
    <w:p w14:paraId="22144A7C">
      <w:pPr>
        <w:jc w:val="center"/>
        <w:rPr>
          <w:rFonts w:eastAsia="黑体"/>
          <w:b/>
          <w:color w:val="auto"/>
          <w:sz w:val="72"/>
          <w:szCs w:val="72"/>
          <w:highlight w:val="none"/>
        </w:rPr>
      </w:pPr>
    </w:p>
    <w:p w14:paraId="103C8C0D">
      <w:pPr>
        <w:jc w:val="center"/>
        <w:rPr>
          <w:rFonts w:eastAsia="楷体_GB2312"/>
          <w:b/>
          <w:color w:val="auto"/>
          <w:sz w:val="72"/>
          <w:szCs w:val="72"/>
          <w:highlight w:val="none"/>
        </w:rPr>
      </w:pPr>
    </w:p>
    <w:p w14:paraId="7EBD3E0F">
      <w:pPr>
        <w:jc w:val="center"/>
        <w:rPr>
          <w:rFonts w:eastAsia="黑体"/>
          <w:b/>
          <w:color w:val="auto"/>
          <w:sz w:val="52"/>
          <w:szCs w:val="52"/>
          <w:highlight w:val="none"/>
        </w:rPr>
      </w:pPr>
    </w:p>
    <w:p w14:paraId="38BA1D5C">
      <w:pPr>
        <w:jc w:val="center"/>
        <w:rPr>
          <w:rFonts w:eastAsia="黑体"/>
          <w:b/>
          <w:color w:val="auto"/>
          <w:sz w:val="52"/>
          <w:szCs w:val="52"/>
          <w:highlight w:val="none"/>
        </w:rPr>
      </w:pPr>
    </w:p>
    <w:p w14:paraId="51F29DA8">
      <w:pPr>
        <w:rPr>
          <w:b/>
          <w:color w:val="auto"/>
          <w:sz w:val="28"/>
          <w:szCs w:val="28"/>
          <w:highlight w:val="none"/>
        </w:rPr>
      </w:pPr>
    </w:p>
    <w:p w14:paraId="6A396E08">
      <w:pPr>
        <w:rPr>
          <w:b/>
          <w:color w:val="auto"/>
          <w:sz w:val="28"/>
          <w:szCs w:val="28"/>
          <w:highlight w:val="none"/>
        </w:rPr>
      </w:pPr>
    </w:p>
    <w:p w14:paraId="71810C58">
      <w:pPr>
        <w:spacing w:after="120" w:line="360" w:lineRule="auto"/>
        <w:ind w:left="420" w:leftChars="200" w:firstLine="562" w:firstLineChars="200"/>
        <w:rPr>
          <w:rFonts w:ascii="宋体"/>
          <w:b/>
          <w:color w:val="auto"/>
          <w:sz w:val="28"/>
          <w:szCs w:val="28"/>
          <w:highlight w:val="none"/>
        </w:rPr>
      </w:pPr>
    </w:p>
    <w:p w14:paraId="46E3B2C2">
      <w:pPr>
        <w:spacing w:after="120" w:line="360" w:lineRule="auto"/>
        <w:ind w:left="420" w:leftChars="200" w:firstLine="420" w:firstLineChars="200"/>
        <w:rPr>
          <w:rFonts w:ascii="宋体"/>
          <w:color w:val="auto"/>
          <w:szCs w:val="20"/>
          <w:highlight w:val="none"/>
        </w:rPr>
      </w:pPr>
    </w:p>
    <w:p w14:paraId="79D66E3B">
      <w:pPr>
        <w:jc w:val="center"/>
        <w:rPr>
          <w:b/>
          <w:color w:val="auto"/>
          <w:sz w:val="28"/>
          <w:szCs w:val="28"/>
          <w:highlight w:val="none"/>
        </w:rPr>
      </w:pPr>
    </w:p>
    <w:p w14:paraId="7F78BCF5">
      <w:pPr>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2FC376BD">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4pt;margin-top:16.8pt;height:36pt;width:57pt;z-index:251659264;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&#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tzKmrZAAAACgEAAA8AAAAAAAAAAQAgAAAAIgAAAGRy&#10;cy9kb3ducmV2LnhtbFBLAQIUABQAAAAIAIdO4kDtHmq6BAIAAAwEAAAOAAAAAAAAAAEAIAAAACgB&#10;AABkcnMvZTJvRG9jLnhtbFBLBQYAAAAABgAGAFkBAACeBQAAAAA=&#10;">
                <v:fill on="f" focussize="0,0"/>
                <v:stroke color="#FFFFFF" joinstyle="miter"/>
                <v:imagedata o:title=""/>
                <o:lock v:ext="edit" aspectratio="f"/>
                <v:textbox>
                  <w:txbxContent>
                    <w:p w14:paraId="2FC376BD">
                      <w:pPr>
                        <w:rPr>
                          <w:b/>
                          <w:bCs/>
                          <w:sz w:val="32"/>
                        </w:rPr>
                      </w:pPr>
                      <w:r>
                        <w:rPr>
                          <w:rFonts w:hint="eastAsia"/>
                          <w:b/>
                          <w:bCs/>
                          <w:sz w:val="32"/>
                        </w:rPr>
                        <w:t>制定</w:t>
                      </w:r>
                    </w:p>
                  </w:txbxContent>
                </v:textbox>
              </v:shape>
            </w:pict>
          </mc:Fallback>
        </mc:AlternateContent>
      </w:r>
      <w:r>
        <w:rPr>
          <w:rFonts w:hint="eastAsia"/>
          <w:b/>
          <w:color w:val="auto"/>
          <w:sz w:val="32"/>
          <w:szCs w:val="28"/>
          <w:highlight w:val="none"/>
        </w:rPr>
        <w:t>住房和城乡建设部</w:t>
      </w:r>
    </w:p>
    <w:p w14:paraId="47AC0188">
      <w:pPr>
        <w:jc w:val="center"/>
        <w:outlineLvl w:val="0"/>
        <w:rPr>
          <w:b/>
          <w:color w:val="auto"/>
          <w:sz w:val="32"/>
          <w:szCs w:val="28"/>
          <w:highlight w:val="none"/>
        </w:rPr>
      </w:pPr>
      <w:bookmarkStart w:id="870" w:name="_Toc30846"/>
      <w:bookmarkStart w:id="871" w:name="_Toc32748"/>
      <w:bookmarkStart w:id="872" w:name="_Toc1470"/>
      <w:r>
        <w:rPr>
          <w:rFonts w:hint="eastAsia"/>
          <w:b/>
          <w:color w:val="auto"/>
          <w:sz w:val="32"/>
          <w:szCs w:val="28"/>
          <w:highlight w:val="none"/>
        </w:rPr>
        <w:t>国家工商行政管理总局</w:t>
      </w:r>
      <w:bookmarkEnd w:id="870"/>
      <w:bookmarkEnd w:id="871"/>
      <w:bookmarkEnd w:id="872"/>
    </w:p>
    <w:p w14:paraId="542F832D">
      <w:pPr>
        <w:spacing w:after="120" w:line="360" w:lineRule="auto"/>
        <w:ind w:left="420" w:leftChars="200" w:firstLine="420" w:firstLineChars="200"/>
        <w:rPr>
          <w:rFonts w:ascii="宋体"/>
          <w:color w:val="auto"/>
          <w:szCs w:val="20"/>
          <w:highlight w:val="none"/>
        </w:rPr>
      </w:pPr>
    </w:p>
    <w:bookmarkEnd w:id="869"/>
    <w:p w14:paraId="31B3158F">
      <w:pPr>
        <w:rPr>
          <w:color w:val="auto"/>
          <w:highlight w:val="none"/>
        </w:rPr>
      </w:pPr>
      <w:r>
        <w:rPr>
          <w:rFonts w:hint="eastAsia"/>
          <w:color w:val="auto"/>
          <w:highlight w:val="none"/>
        </w:rPr>
        <w:br w:type="page"/>
      </w:r>
    </w:p>
    <w:p w14:paraId="6ED79166">
      <w:pPr>
        <w:keepNext/>
        <w:keepLines/>
        <w:spacing w:line="360" w:lineRule="auto"/>
        <w:jc w:val="center"/>
        <w:outlineLvl w:val="1"/>
        <w:rPr>
          <w:rFonts w:hint="eastAsia" w:ascii="宋体" w:hAnsi="宋体" w:cs="宋体"/>
          <w:b/>
          <w:bCs/>
          <w:color w:val="auto"/>
          <w:sz w:val="32"/>
          <w:szCs w:val="32"/>
          <w:highlight w:val="none"/>
        </w:rPr>
      </w:pPr>
      <w:bookmarkStart w:id="873" w:name="_Toc3977"/>
      <w:bookmarkStart w:id="874" w:name="_Toc95223459"/>
      <w:bookmarkStart w:id="875" w:name="_Toc28799376"/>
      <w:bookmarkStart w:id="876" w:name="_Toc29801"/>
      <w:bookmarkStart w:id="877" w:name="_Toc2308"/>
      <w:r>
        <w:rPr>
          <w:rFonts w:hint="eastAsia" w:ascii="宋体" w:hAnsi="宋体" w:cs="宋体"/>
          <w:b/>
          <w:bCs/>
          <w:color w:val="auto"/>
          <w:sz w:val="32"/>
          <w:szCs w:val="32"/>
          <w:highlight w:val="none"/>
        </w:rPr>
        <w:t>第一节  合同协议书</w:t>
      </w:r>
      <w:bookmarkEnd w:id="873"/>
      <w:bookmarkEnd w:id="874"/>
      <w:bookmarkEnd w:id="875"/>
    </w:p>
    <w:p w14:paraId="0DF9FABE">
      <w:pPr>
        <w:spacing w:line="360" w:lineRule="auto"/>
        <w:rPr>
          <w:rFonts w:hint="eastAsia" w:ascii="宋体" w:hAnsi="宋体" w:cs="宋体"/>
          <w:b/>
          <w:color w:val="auto"/>
          <w:sz w:val="24"/>
          <w:highlight w:val="none"/>
          <w:u w:val="single"/>
        </w:rPr>
      </w:pPr>
      <w:r>
        <w:rPr>
          <w:rFonts w:hint="eastAsia" w:ascii="宋体" w:hAnsi="宋体" w:cs="宋体"/>
          <w:b/>
          <w:color w:val="auto"/>
          <w:sz w:val="24"/>
          <w:highlight w:val="none"/>
          <w:u w:val="single"/>
        </w:rPr>
        <w:t>发包人（全称）：滁州市兴全矿业投资有限公司</w:t>
      </w:r>
    </w:p>
    <w:p w14:paraId="72766C8F">
      <w:pPr>
        <w:spacing w:line="360" w:lineRule="auto"/>
        <w:rPr>
          <w:rFonts w:hint="eastAsia" w:ascii="宋体" w:hAnsi="宋体" w:cs="宋体"/>
          <w:b/>
          <w:color w:val="auto"/>
          <w:sz w:val="30"/>
          <w:szCs w:val="30"/>
          <w:highlight w:val="none"/>
          <w:u w:val="single"/>
        </w:rPr>
      </w:pPr>
      <w:r>
        <w:rPr>
          <w:rFonts w:hint="eastAsia" w:ascii="宋体" w:hAnsi="宋体" w:cs="宋体"/>
          <w:b/>
          <w:color w:val="auto"/>
          <w:sz w:val="24"/>
          <w:highlight w:val="none"/>
          <w:u w:val="single"/>
        </w:rPr>
        <w:t>承包人（全称）：               </w:t>
      </w:r>
    </w:p>
    <w:p w14:paraId="7C6A30F3">
      <w:pPr>
        <w:spacing w:line="360" w:lineRule="auto"/>
        <w:ind w:firstLine="420" w:firstLineChars="200"/>
        <w:rPr>
          <w:rFonts w:hint="eastAsia" w:ascii="宋体" w:hAnsi="宋体" w:cs="宋体"/>
          <w:color w:val="auto"/>
          <w:szCs w:val="21"/>
          <w:highlight w:val="none"/>
          <w:u w:val="single"/>
        </w:rPr>
      </w:pPr>
    </w:p>
    <w:p w14:paraId="443D1348">
      <w:pPr>
        <w:spacing w:line="48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根据《中华人民共和国民法典》《中华人民共和国建筑法》及有关法律规定，遵循平等、自愿、公平和诚实信用的原则，双方就                            工程施工及有关事项协商一致，共同达成如下协议：</w:t>
      </w:r>
      <w:bookmarkStart w:id="878" w:name="_Toc351203481"/>
    </w:p>
    <w:p w14:paraId="79A8BEBB">
      <w:pPr>
        <w:spacing w:line="480" w:lineRule="exact"/>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u w:val="single"/>
        </w:rPr>
        <w:t>一、工程概况</w:t>
      </w:r>
      <w:bookmarkEnd w:id="878"/>
    </w:p>
    <w:p w14:paraId="52F7D8FD">
      <w:pPr>
        <w:spacing w:line="480" w:lineRule="exact"/>
        <w:ind w:firstLine="411" w:firstLineChars="196"/>
        <w:rPr>
          <w:rFonts w:hint="eastAsia" w:ascii="宋体" w:hAnsi="宋体" w:cs="宋体"/>
          <w:color w:val="auto"/>
          <w:szCs w:val="21"/>
          <w:highlight w:val="none"/>
          <w:u w:val="single"/>
        </w:rPr>
      </w:pPr>
      <w:r>
        <w:rPr>
          <w:rFonts w:hint="eastAsia" w:ascii="宋体" w:hAnsi="宋体" w:cs="宋体"/>
          <w:bCs/>
          <w:color w:val="auto"/>
          <w:szCs w:val="21"/>
          <w:highlight w:val="none"/>
          <w:u w:val="single"/>
        </w:rPr>
        <w:t>1. 工程名称</w:t>
      </w:r>
      <w:r>
        <w:rPr>
          <w:rFonts w:hint="eastAsia" w:ascii="宋体" w:hAnsi="宋体" w:cs="宋体"/>
          <w:color w:val="auto"/>
          <w:szCs w:val="21"/>
          <w:highlight w:val="none"/>
          <w:u w:val="single"/>
        </w:rPr>
        <w:t>：                        。</w:t>
      </w:r>
    </w:p>
    <w:p w14:paraId="721A1EF2">
      <w:pPr>
        <w:spacing w:line="48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u w:val="single"/>
        </w:rPr>
        <w:t>2. 工程地点：</w:t>
      </w:r>
      <w:r>
        <w:rPr>
          <w:rFonts w:hint="eastAsia" w:hAnsi="宋体" w:cs="宋体"/>
          <w:color w:val="auto"/>
          <w:szCs w:val="21"/>
          <w:highlight w:val="none"/>
          <w:u w:val="single"/>
        </w:rPr>
        <w:t xml:space="preserve">                        </w:t>
      </w:r>
      <w:r>
        <w:rPr>
          <w:rFonts w:hint="eastAsia" w:ascii="宋体" w:hAnsi="宋体" w:cs="宋体"/>
          <w:color w:val="auto"/>
          <w:szCs w:val="21"/>
          <w:highlight w:val="none"/>
          <w:u w:val="single"/>
        </w:rPr>
        <w:t>。</w:t>
      </w:r>
    </w:p>
    <w:p w14:paraId="29C0C2F8">
      <w:pPr>
        <w:spacing w:line="480" w:lineRule="exact"/>
        <w:ind w:firstLine="411" w:firstLineChars="196"/>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3.资金来源：                     </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u w:val="single"/>
        </w:rPr>
        <w:t>。</w:t>
      </w:r>
    </w:p>
    <w:p w14:paraId="2E961A64">
      <w:pPr>
        <w:spacing w:line="480" w:lineRule="exact"/>
        <w:ind w:firstLine="411" w:firstLineChars="196"/>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4. 工程内容：                        。</w:t>
      </w:r>
    </w:p>
    <w:p w14:paraId="2625EEF1">
      <w:pPr>
        <w:spacing w:line="480" w:lineRule="exact"/>
        <w:ind w:firstLine="411" w:firstLineChars="196"/>
        <w:rPr>
          <w:rFonts w:hint="eastAsia" w:ascii="宋体" w:hAnsi="宋体" w:cs="宋体"/>
          <w:color w:val="auto"/>
          <w:szCs w:val="21"/>
          <w:highlight w:val="none"/>
          <w:u w:val="single"/>
        </w:rPr>
      </w:pPr>
      <w:r>
        <w:rPr>
          <w:rFonts w:hint="eastAsia" w:ascii="宋体" w:hAnsi="宋体" w:cs="宋体"/>
          <w:bCs/>
          <w:color w:val="auto"/>
          <w:szCs w:val="21"/>
          <w:highlight w:val="none"/>
          <w:u w:val="single"/>
        </w:rPr>
        <w:t>5工程承包范围：</w:t>
      </w:r>
      <w:r>
        <w:rPr>
          <w:rFonts w:hint="eastAsia" w:ascii="宋体" w:hAnsi="宋体" w:cs="宋体"/>
          <w:b/>
          <w:bCs/>
          <w:color w:val="auto"/>
          <w:szCs w:val="21"/>
          <w:highlight w:val="none"/>
          <w:u w:val="single"/>
        </w:rPr>
        <w:t>施工图纸和工程量清单载明的施工内容及施工过程中的变更内容（如施工图纸和工程量清单不一致，由发包人负责解释）</w:t>
      </w:r>
      <w:r>
        <w:rPr>
          <w:rFonts w:hint="eastAsia" w:ascii="宋体" w:hAnsi="宋体" w:cs="宋体"/>
          <w:color w:val="auto"/>
          <w:szCs w:val="21"/>
          <w:highlight w:val="none"/>
          <w:u w:val="single"/>
        </w:rPr>
        <w:t xml:space="preserve">。 </w:t>
      </w:r>
    </w:p>
    <w:p w14:paraId="618EAC71">
      <w:pPr>
        <w:spacing w:line="480" w:lineRule="exact"/>
        <w:ind w:firstLine="422" w:firstLineChars="200"/>
        <w:rPr>
          <w:rFonts w:hint="eastAsia" w:ascii="宋体" w:hAnsi="宋体" w:cs="宋体"/>
          <w:b/>
          <w:color w:val="auto"/>
          <w:szCs w:val="21"/>
          <w:highlight w:val="none"/>
          <w:u w:val="single"/>
        </w:rPr>
      </w:pPr>
      <w:bookmarkStart w:id="879" w:name="_Toc351203482"/>
      <w:r>
        <w:rPr>
          <w:rFonts w:hint="eastAsia" w:ascii="宋体" w:hAnsi="宋体" w:cs="宋体"/>
          <w:b/>
          <w:color w:val="auto"/>
          <w:szCs w:val="21"/>
          <w:highlight w:val="none"/>
          <w:u w:val="single"/>
        </w:rPr>
        <w:t>二、合同工期</w:t>
      </w:r>
      <w:bookmarkEnd w:id="879"/>
    </w:p>
    <w:p w14:paraId="6900A6FE">
      <w:pPr>
        <w:spacing w:line="480" w:lineRule="exact"/>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计划开工日期：          年      月      日。</w:t>
      </w:r>
    </w:p>
    <w:p w14:paraId="099E6848">
      <w:pPr>
        <w:spacing w:line="480" w:lineRule="exact"/>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计划竣工日期：          年      月      日。</w:t>
      </w:r>
    </w:p>
    <w:p w14:paraId="1971D015">
      <w:pPr>
        <w:spacing w:line="480" w:lineRule="exact"/>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工期总日历天数：       天。工期总日历天数与根据前述计划开竣工日期计算的工期天数不一致的，以工期总日历天数为准。</w:t>
      </w:r>
    </w:p>
    <w:p w14:paraId="5193D318">
      <w:pPr>
        <w:spacing w:line="480" w:lineRule="exact"/>
        <w:ind w:firstLine="422" w:firstLineChars="200"/>
        <w:rPr>
          <w:rFonts w:hint="eastAsia" w:ascii="宋体" w:hAnsi="宋体" w:cs="宋体"/>
          <w:b/>
          <w:color w:val="auto"/>
          <w:szCs w:val="21"/>
          <w:highlight w:val="none"/>
          <w:u w:val="single"/>
        </w:rPr>
      </w:pPr>
      <w:bookmarkStart w:id="880" w:name="_Toc351203483"/>
      <w:r>
        <w:rPr>
          <w:rFonts w:hint="eastAsia" w:ascii="宋体" w:hAnsi="宋体" w:cs="宋体"/>
          <w:b/>
          <w:color w:val="auto"/>
          <w:szCs w:val="21"/>
          <w:highlight w:val="none"/>
          <w:u w:val="single"/>
        </w:rPr>
        <w:t>三、质量标准</w:t>
      </w:r>
      <w:bookmarkEnd w:id="880"/>
    </w:p>
    <w:p w14:paraId="68588662">
      <w:pPr>
        <w:spacing w:line="480" w:lineRule="exact"/>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1.工程质量必须达到国家工程施工质量验收  合格  标准。</w:t>
      </w:r>
    </w:p>
    <w:p w14:paraId="65F7B770">
      <w:pPr>
        <w:spacing w:line="480" w:lineRule="exact"/>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2.本工程为交钥匙工程，中标单位需自行和供电主管部门协调报停、送电、验收、移交等事宜，并确保工程完工后通过供电主管部门验收、送电及完成移交工作。上述发生的一切费用由中标单位自理，招标人不再另行支付任何费用。</w:t>
      </w:r>
    </w:p>
    <w:p w14:paraId="6E95D5B7">
      <w:pPr>
        <w:spacing w:line="480" w:lineRule="exact"/>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3.设备材料：合格。满足设计要求、发包人要求，符合约定的参数、品牌或同等级别（或以上）品牌且经发包人确认。</w:t>
      </w:r>
    </w:p>
    <w:p w14:paraId="39076300">
      <w:pPr>
        <w:spacing w:line="480" w:lineRule="exact"/>
        <w:ind w:firstLine="422" w:firstLineChars="200"/>
        <w:rPr>
          <w:rFonts w:hint="eastAsia" w:ascii="宋体" w:hAnsi="宋体" w:cs="宋体"/>
          <w:b/>
          <w:color w:val="auto"/>
          <w:szCs w:val="21"/>
          <w:highlight w:val="none"/>
          <w:u w:val="single"/>
        </w:rPr>
      </w:pPr>
      <w:bookmarkStart w:id="881" w:name="_Toc351203484"/>
      <w:r>
        <w:rPr>
          <w:rFonts w:hint="eastAsia" w:ascii="宋体" w:hAnsi="宋体" w:cs="宋体"/>
          <w:b/>
          <w:color w:val="auto"/>
          <w:szCs w:val="21"/>
          <w:highlight w:val="none"/>
          <w:u w:val="single"/>
        </w:rPr>
        <w:t>四、签约合同价与合同价格形式</w:t>
      </w:r>
      <w:bookmarkEnd w:id="881"/>
    </w:p>
    <w:p w14:paraId="206E938C">
      <w:pPr>
        <w:spacing w:line="48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 签约合同价为：</w:t>
      </w:r>
    </w:p>
    <w:p w14:paraId="7C790A67">
      <w:pPr>
        <w:spacing w:line="480" w:lineRule="exact"/>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39CC902D">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rPr>
        <w:t xml:space="preserve">  单价合同   </w:t>
      </w:r>
      <w:r>
        <w:rPr>
          <w:rFonts w:hint="eastAsia" w:ascii="宋体" w:hAnsi="宋体" w:cs="宋体"/>
          <w:color w:val="auto"/>
          <w:szCs w:val="21"/>
          <w:highlight w:val="none"/>
        </w:rPr>
        <w:t>。</w:t>
      </w:r>
    </w:p>
    <w:p w14:paraId="3E602F8D">
      <w:pPr>
        <w:spacing w:line="480" w:lineRule="exact"/>
        <w:ind w:firstLine="422" w:firstLineChars="200"/>
        <w:rPr>
          <w:rFonts w:hint="eastAsia" w:ascii="宋体" w:hAnsi="宋体" w:cs="宋体"/>
          <w:b/>
          <w:color w:val="auto"/>
          <w:szCs w:val="21"/>
          <w:highlight w:val="none"/>
        </w:rPr>
      </w:pPr>
      <w:bookmarkStart w:id="882" w:name="_Toc351203485"/>
      <w:r>
        <w:rPr>
          <w:rFonts w:hint="eastAsia" w:ascii="宋体" w:hAnsi="宋体" w:cs="宋体"/>
          <w:b/>
          <w:color w:val="auto"/>
          <w:szCs w:val="21"/>
          <w:highlight w:val="none"/>
        </w:rPr>
        <w:t>五、</w:t>
      </w:r>
      <w:bookmarkEnd w:id="882"/>
      <w:r>
        <w:rPr>
          <w:rFonts w:hint="eastAsia" w:ascii="宋体" w:hAnsi="宋体" w:cs="宋体"/>
          <w:b/>
          <w:color w:val="auto"/>
          <w:szCs w:val="21"/>
          <w:highlight w:val="none"/>
        </w:rPr>
        <w:t>项目经理</w:t>
      </w:r>
    </w:p>
    <w:p w14:paraId="55E8E058">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承包人项目经理：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5675B64">
      <w:pPr>
        <w:spacing w:line="480" w:lineRule="exact"/>
        <w:ind w:firstLine="422" w:firstLineChars="200"/>
        <w:rPr>
          <w:rFonts w:hint="eastAsia" w:ascii="宋体" w:hAnsi="宋体" w:cs="宋体"/>
          <w:b/>
          <w:color w:val="auto"/>
          <w:szCs w:val="21"/>
          <w:highlight w:val="none"/>
        </w:rPr>
      </w:pPr>
      <w:bookmarkStart w:id="883" w:name="_Toc351203486"/>
      <w:r>
        <w:rPr>
          <w:rFonts w:hint="eastAsia" w:ascii="宋体" w:hAnsi="宋体" w:cs="宋体"/>
          <w:b/>
          <w:color w:val="auto"/>
          <w:szCs w:val="21"/>
          <w:highlight w:val="none"/>
        </w:rPr>
        <w:t>六、合同文件构成</w:t>
      </w:r>
      <w:bookmarkEnd w:id="883"/>
    </w:p>
    <w:p w14:paraId="6C1BB68E">
      <w:pPr>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10A84C79">
      <w:pPr>
        <w:autoSpaceDE w:val="0"/>
        <w:autoSpaceDN w:val="0"/>
        <w:adjustRightIn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（1）中标通知书（如果有）；</w:t>
      </w:r>
    </w:p>
    <w:p w14:paraId="52E97B90">
      <w:pPr>
        <w:autoSpaceDE w:val="0"/>
        <w:autoSpaceDN w:val="0"/>
        <w:adjustRightIn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14:paraId="742C79BC">
      <w:pPr>
        <w:autoSpaceDE w:val="0"/>
        <w:autoSpaceDN w:val="0"/>
        <w:adjustRightIn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14:paraId="2D50A53D">
      <w:pPr>
        <w:autoSpaceDE w:val="0"/>
        <w:autoSpaceDN w:val="0"/>
        <w:adjustRightIn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（4）通用合同条款；</w:t>
      </w:r>
    </w:p>
    <w:p w14:paraId="578696AE">
      <w:pPr>
        <w:autoSpaceDE w:val="0"/>
        <w:autoSpaceDN w:val="0"/>
        <w:adjustRightIn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14:paraId="7570730E">
      <w:pPr>
        <w:autoSpaceDE w:val="0"/>
        <w:autoSpaceDN w:val="0"/>
        <w:adjustRightIn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（6）图纸；</w:t>
      </w:r>
    </w:p>
    <w:p w14:paraId="540D0057">
      <w:pPr>
        <w:autoSpaceDE w:val="0"/>
        <w:autoSpaceDN w:val="0"/>
        <w:adjustRightIn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14:paraId="02508FDB">
      <w:pPr>
        <w:autoSpaceDE w:val="0"/>
        <w:autoSpaceDN w:val="0"/>
        <w:adjustRightIn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（8）其他合同文件。</w:t>
      </w:r>
    </w:p>
    <w:p w14:paraId="6F68C9CA">
      <w:pPr>
        <w:autoSpaceDE w:val="0"/>
        <w:autoSpaceDN w:val="0"/>
        <w:adjustRightIn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14:paraId="43B22206">
      <w:pPr>
        <w:autoSpaceDE w:val="0"/>
        <w:autoSpaceDN w:val="0"/>
        <w:adjustRightIn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7516E473">
      <w:pPr>
        <w:spacing w:line="480" w:lineRule="exact"/>
        <w:ind w:firstLine="422" w:firstLineChars="200"/>
        <w:rPr>
          <w:rFonts w:hint="eastAsia" w:ascii="宋体" w:hAnsi="宋体" w:cs="宋体"/>
          <w:b/>
          <w:color w:val="auto"/>
          <w:szCs w:val="21"/>
          <w:highlight w:val="none"/>
        </w:rPr>
      </w:pPr>
      <w:bookmarkStart w:id="884" w:name="_Toc351203487"/>
      <w:r>
        <w:rPr>
          <w:rFonts w:hint="eastAsia" w:ascii="宋体" w:hAnsi="宋体" w:cs="宋体"/>
          <w:b/>
          <w:color w:val="auto"/>
          <w:szCs w:val="21"/>
          <w:highlight w:val="none"/>
        </w:rPr>
        <w:t>七、承诺</w:t>
      </w:r>
      <w:bookmarkEnd w:id="884"/>
    </w:p>
    <w:p w14:paraId="659187F7">
      <w:pPr>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 发包人承诺按照法律规定履行项目审批手续、筹集工程建设资金并按照合同约定的期限和方式支付合同价款。</w:t>
      </w:r>
    </w:p>
    <w:p w14:paraId="71F446EF">
      <w:pPr>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28EDD265">
      <w:pPr>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 发包人和承包人通过招投标形式签订合同的，双方理解并承诺不再就同一工程另行签订与合同实质性内容相背离的协议。</w:t>
      </w:r>
    </w:p>
    <w:p w14:paraId="26CFD536">
      <w:pPr>
        <w:spacing w:line="480" w:lineRule="exact"/>
        <w:ind w:firstLine="422" w:firstLineChars="200"/>
        <w:rPr>
          <w:rFonts w:hint="eastAsia" w:ascii="宋体" w:hAnsi="宋体" w:cs="宋体"/>
          <w:b/>
          <w:color w:val="auto"/>
          <w:szCs w:val="21"/>
          <w:highlight w:val="none"/>
        </w:rPr>
      </w:pPr>
      <w:bookmarkStart w:id="885" w:name="_Toc351203488"/>
      <w:r>
        <w:rPr>
          <w:rFonts w:hint="eastAsia" w:ascii="宋体" w:hAnsi="宋体" w:cs="宋体"/>
          <w:b/>
          <w:color w:val="auto"/>
          <w:szCs w:val="21"/>
          <w:highlight w:val="none"/>
        </w:rPr>
        <w:t>八、词语含义</w:t>
      </w:r>
      <w:bookmarkEnd w:id="885"/>
    </w:p>
    <w:p w14:paraId="377E9635">
      <w:pPr>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244B5AEC">
      <w:pPr>
        <w:spacing w:line="480" w:lineRule="exact"/>
        <w:ind w:firstLine="422" w:firstLineChars="200"/>
        <w:rPr>
          <w:rFonts w:hint="eastAsia" w:ascii="宋体" w:hAnsi="宋体" w:cs="宋体"/>
          <w:b/>
          <w:color w:val="auto"/>
          <w:szCs w:val="21"/>
          <w:highlight w:val="none"/>
        </w:rPr>
      </w:pPr>
      <w:bookmarkStart w:id="886" w:name="_Toc351203489"/>
      <w:r>
        <w:rPr>
          <w:rFonts w:hint="eastAsia" w:ascii="宋体" w:hAnsi="宋体" w:cs="宋体"/>
          <w:b/>
          <w:color w:val="auto"/>
          <w:szCs w:val="21"/>
          <w:highlight w:val="none"/>
        </w:rPr>
        <w:t>九、签订时间</w:t>
      </w:r>
      <w:bookmarkEnd w:id="886"/>
    </w:p>
    <w:p w14:paraId="266C5828">
      <w:pPr>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69A81013">
      <w:pPr>
        <w:spacing w:line="480" w:lineRule="exact"/>
        <w:ind w:firstLine="422" w:firstLineChars="200"/>
        <w:rPr>
          <w:rFonts w:hint="eastAsia" w:ascii="宋体" w:hAnsi="宋体" w:cs="宋体"/>
          <w:b/>
          <w:color w:val="auto"/>
          <w:szCs w:val="21"/>
          <w:highlight w:val="none"/>
        </w:rPr>
      </w:pPr>
      <w:bookmarkStart w:id="887" w:name="_Toc351203490"/>
      <w:r>
        <w:rPr>
          <w:rFonts w:hint="eastAsia" w:ascii="宋体" w:hAnsi="宋体" w:cs="宋体"/>
          <w:b/>
          <w:color w:val="auto"/>
          <w:szCs w:val="21"/>
          <w:highlight w:val="none"/>
        </w:rPr>
        <w:t>十、签订地点</w:t>
      </w:r>
      <w:bookmarkEnd w:id="887"/>
    </w:p>
    <w:p w14:paraId="52FCA18E">
      <w:pPr>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1893EC6F">
      <w:pPr>
        <w:spacing w:line="480" w:lineRule="exact"/>
        <w:ind w:firstLine="422" w:firstLineChars="200"/>
        <w:rPr>
          <w:rFonts w:hint="eastAsia" w:ascii="宋体" w:hAnsi="宋体" w:cs="宋体"/>
          <w:b/>
          <w:color w:val="auto"/>
          <w:szCs w:val="21"/>
          <w:highlight w:val="none"/>
        </w:rPr>
      </w:pPr>
      <w:bookmarkStart w:id="888" w:name="_Toc351203491"/>
      <w:r>
        <w:rPr>
          <w:rFonts w:hint="eastAsia" w:ascii="宋体" w:hAnsi="宋体" w:cs="宋体"/>
          <w:b/>
          <w:color w:val="auto"/>
          <w:szCs w:val="21"/>
          <w:highlight w:val="none"/>
        </w:rPr>
        <w:t>十一、补充协议</w:t>
      </w:r>
      <w:bookmarkEnd w:id="888"/>
    </w:p>
    <w:p w14:paraId="455C7F9C">
      <w:pPr>
        <w:spacing w:line="480" w:lineRule="exact"/>
        <w:ind w:firstLine="420" w:firstLineChars="200"/>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546A45CC">
      <w:pPr>
        <w:spacing w:line="480" w:lineRule="exact"/>
        <w:ind w:firstLine="422" w:firstLineChars="200"/>
        <w:rPr>
          <w:rFonts w:hint="eastAsia" w:ascii="宋体" w:hAnsi="宋体" w:cs="宋体"/>
          <w:b/>
          <w:color w:val="auto"/>
          <w:szCs w:val="21"/>
          <w:highlight w:val="none"/>
        </w:rPr>
      </w:pPr>
      <w:bookmarkStart w:id="889" w:name="_Toc351203492"/>
      <w:r>
        <w:rPr>
          <w:rFonts w:hint="eastAsia" w:ascii="宋体" w:hAnsi="宋体" w:cs="宋体"/>
          <w:b/>
          <w:color w:val="auto"/>
          <w:szCs w:val="21"/>
          <w:highlight w:val="none"/>
        </w:rPr>
        <w:t>十二、合同生效</w:t>
      </w:r>
      <w:bookmarkEnd w:id="889"/>
    </w:p>
    <w:p w14:paraId="1E10E4B2">
      <w:pPr>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生效。</w:t>
      </w:r>
    </w:p>
    <w:p w14:paraId="72DDDF22">
      <w:pPr>
        <w:spacing w:line="480" w:lineRule="exact"/>
        <w:ind w:firstLine="422" w:firstLineChars="200"/>
        <w:rPr>
          <w:rFonts w:hint="eastAsia" w:ascii="宋体" w:hAnsi="宋体" w:cs="宋体"/>
          <w:b/>
          <w:color w:val="auto"/>
          <w:szCs w:val="21"/>
          <w:highlight w:val="none"/>
        </w:rPr>
      </w:pPr>
      <w:bookmarkStart w:id="890" w:name="_Toc351203493"/>
      <w:r>
        <w:rPr>
          <w:rFonts w:hint="eastAsia" w:ascii="宋体" w:hAnsi="宋体" w:cs="宋体"/>
          <w:b/>
          <w:color w:val="auto"/>
          <w:szCs w:val="21"/>
          <w:highlight w:val="none"/>
        </w:rPr>
        <w:t>十三、合同份数</w:t>
      </w:r>
      <w:bookmarkEnd w:id="890"/>
    </w:p>
    <w:p w14:paraId="3BAD8667">
      <w:pPr>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14:paraId="74821F6E">
      <w:pPr>
        <w:spacing w:line="360" w:lineRule="auto"/>
        <w:rPr>
          <w:rFonts w:hint="eastAsia" w:ascii="宋体" w:hAnsi="宋体" w:cs="宋体"/>
          <w:bCs/>
          <w:color w:val="auto"/>
          <w:szCs w:val="21"/>
          <w:highlight w:val="none"/>
        </w:rPr>
      </w:pPr>
    </w:p>
    <w:p w14:paraId="29AD81C3">
      <w:pPr>
        <w:spacing w:line="360" w:lineRule="auto"/>
        <w:ind w:firstLine="420" w:firstLineChars="200"/>
        <w:rPr>
          <w:rFonts w:hint="eastAsia" w:ascii="宋体" w:hAnsi="宋体" w:cs="宋体"/>
          <w:color w:val="auto"/>
          <w:szCs w:val="21"/>
          <w:highlight w:val="none"/>
        </w:rPr>
      </w:pPr>
    </w:p>
    <w:p w14:paraId="32F78C23">
      <w:pPr>
        <w:spacing w:line="360" w:lineRule="auto"/>
        <w:ind w:firstLine="420" w:firstLineChars="200"/>
        <w:rPr>
          <w:rFonts w:hint="eastAsia" w:ascii="宋体" w:hAnsi="宋体" w:cs="宋体"/>
          <w:color w:val="auto"/>
          <w:szCs w:val="21"/>
          <w:highlight w:val="none"/>
        </w:rPr>
      </w:pPr>
    </w:p>
    <w:p w14:paraId="2F96C7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(公章)          承包人：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(公章)</w:t>
      </w:r>
    </w:p>
    <w:p w14:paraId="54865515">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14:paraId="234FB1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63CA53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w:t>
      </w:r>
      <w:r>
        <w:rPr>
          <w:rFonts w:hint="eastAsia" w:ascii="宋体" w:hAnsi="宋体" w:cs="宋体"/>
          <w:color w:val="auto"/>
          <w:szCs w:val="21"/>
          <w:highlight w:val="none"/>
          <w:u w:val="single"/>
        </w:rPr>
        <w:t xml:space="preserve">                  </w:t>
      </w:r>
    </w:p>
    <w:p w14:paraId="7137E678">
      <w:pPr>
        <w:spacing w:line="360" w:lineRule="auto"/>
        <w:rPr>
          <w:rFonts w:hint="eastAsia" w:ascii="宋体" w:hAnsi="宋体" w:cs="宋体"/>
          <w:color w:val="auto"/>
          <w:szCs w:val="21"/>
          <w:highlight w:val="none"/>
          <w:u w:val="single"/>
        </w:rPr>
      </w:pPr>
    </w:p>
    <w:p w14:paraId="6319B72B">
      <w:pPr>
        <w:tabs>
          <w:tab w:val="left" w:pos="441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 </w:t>
      </w:r>
    </w:p>
    <w:p w14:paraId="43C03F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14:paraId="2A365A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38D883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 </w:t>
      </w:r>
    </w:p>
    <w:p w14:paraId="73E4F7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14:paraId="2D911B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669BB7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55EEF0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14:paraId="1DF07A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3E4E0A55">
      <w:pPr>
        <w:ind w:firstLine="420" w:firstLineChars="200"/>
        <w:rPr>
          <w:rFonts w:hint="eastAsia" w:ascii="宋体" w:hAnsi="宋体" w:cs="宋体"/>
          <w:color w:val="auto"/>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56EC07CD">
      <w:pPr>
        <w:keepNext/>
        <w:keepLines/>
        <w:spacing w:line="360" w:lineRule="auto"/>
        <w:jc w:val="center"/>
        <w:outlineLvl w:val="1"/>
        <w:rPr>
          <w:rFonts w:hint="eastAsia" w:ascii="宋体" w:hAnsi="宋体" w:cs="宋体"/>
          <w:snapToGrid w:val="0"/>
          <w:color w:val="auto"/>
          <w:kern w:val="0"/>
          <w:sz w:val="28"/>
          <w:highlight w:val="none"/>
        </w:rPr>
      </w:pPr>
      <w:r>
        <w:rPr>
          <w:rFonts w:hint="eastAsia" w:ascii="宋体" w:hAnsi="宋体" w:cs="宋体"/>
          <w:b/>
          <w:bCs/>
          <w:color w:val="auto"/>
          <w:sz w:val="32"/>
          <w:szCs w:val="32"/>
          <w:highlight w:val="none"/>
        </w:rPr>
        <w:br w:type="page"/>
      </w:r>
      <w:bookmarkEnd w:id="876"/>
      <w:bookmarkEnd w:id="877"/>
      <w:bookmarkStart w:id="891" w:name="_Toc15494"/>
      <w:bookmarkStart w:id="892" w:name="_Toc95223460"/>
      <w:bookmarkStart w:id="893" w:name="_Toc4139"/>
      <w:r>
        <w:rPr>
          <w:rFonts w:hint="eastAsia" w:ascii="黑体" w:eastAsia="黑体" w:cs="黑体"/>
          <w:b/>
          <w:bCs/>
          <w:color w:val="auto"/>
          <w:kern w:val="0"/>
          <w:sz w:val="32"/>
          <w:szCs w:val="32"/>
          <w:highlight w:val="none"/>
        </w:rPr>
        <w:t>第二节  通用合同条款</w:t>
      </w:r>
      <w:bookmarkEnd w:id="891"/>
      <w:bookmarkEnd w:id="892"/>
    </w:p>
    <w:p w14:paraId="3D298E2F">
      <w:pPr>
        <w:spacing w:line="440" w:lineRule="exact"/>
        <w:ind w:firstLine="420" w:firstLineChars="200"/>
        <w:rPr>
          <w:color w:val="auto"/>
          <w:highlight w:val="none"/>
        </w:rPr>
      </w:pPr>
      <w:r>
        <w:rPr>
          <w:rFonts w:hint="eastAsia"/>
          <w:color w:val="auto"/>
          <w:highlight w:val="none"/>
        </w:rPr>
        <w:t>使用建设部、国家工商行政管理局印发的《建设工程施工合同（GF-2017-0201示范文本）》第二部分通用条款。上述资料由投标人自行准备。</w:t>
      </w:r>
    </w:p>
    <w:p w14:paraId="50E96613">
      <w:pPr>
        <w:pStyle w:val="8"/>
        <w:jc w:val="center"/>
        <w:rPr>
          <w:rFonts w:ascii="黑体" w:eastAsia="黑体" w:cs="黑体"/>
          <w:color w:val="auto"/>
          <w:highlight w:val="none"/>
        </w:rPr>
      </w:pPr>
      <w:bookmarkStart w:id="894" w:name="_Toc14492"/>
      <w:r>
        <w:rPr>
          <w:rFonts w:hint="eastAsia" w:ascii="黑体" w:eastAsia="黑体" w:cs="黑体"/>
          <w:color w:val="auto"/>
          <w:highlight w:val="none"/>
        </w:rPr>
        <w:t>第三节 专用合同条款</w:t>
      </w:r>
    </w:p>
    <w:p w14:paraId="7012CE93">
      <w:pPr>
        <w:pStyle w:val="9"/>
        <w:snapToGrid w:val="0"/>
        <w:spacing w:line="440" w:lineRule="exact"/>
        <w:ind w:firstLine="420" w:firstLineChars="200"/>
        <w:rPr>
          <w:rFonts w:ascii="宋体" w:eastAsia="宋体" w:cs="宋体"/>
          <w:b w:val="0"/>
          <w:color w:val="auto"/>
          <w:sz w:val="21"/>
          <w:szCs w:val="21"/>
          <w:highlight w:val="none"/>
        </w:rPr>
      </w:pPr>
      <w:r>
        <w:rPr>
          <w:rFonts w:hint="eastAsia" w:ascii="宋体" w:eastAsia="宋体" w:cs="宋体"/>
          <w:b w:val="0"/>
          <w:color w:val="auto"/>
          <w:sz w:val="21"/>
          <w:szCs w:val="21"/>
          <w:highlight w:val="none"/>
        </w:rPr>
        <w:t>1. 一般约定</w:t>
      </w:r>
    </w:p>
    <w:p w14:paraId="3C4E3406">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 xml:space="preserve">1.1 </w:t>
      </w:r>
      <w:r>
        <w:rPr>
          <w:rFonts w:hint="eastAsia" w:ascii="宋体" w:hAnsi="宋体" w:cs="宋体"/>
          <w:bCs/>
          <w:color w:val="auto"/>
          <w:szCs w:val="28"/>
          <w:highlight w:val="none"/>
        </w:rPr>
        <w:t>词语定义与解释</w:t>
      </w:r>
    </w:p>
    <w:p w14:paraId="31DC4FE5">
      <w:pPr>
        <w:snapToGrid w:val="0"/>
        <w:spacing w:line="440" w:lineRule="exact"/>
        <w:ind w:firstLine="420" w:firstLineChars="200"/>
        <w:rPr>
          <w:rFonts w:ascii="宋体" w:cs="宋体"/>
          <w:color w:val="auto"/>
          <w:kern w:val="0"/>
          <w:szCs w:val="21"/>
          <w:highlight w:val="none"/>
        </w:rPr>
      </w:pPr>
      <w:r>
        <w:rPr>
          <w:rFonts w:hint="eastAsia" w:ascii="宋体" w:cs="宋体"/>
          <w:color w:val="auto"/>
          <w:kern w:val="0"/>
          <w:szCs w:val="21"/>
          <w:highlight w:val="none"/>
        </w:rPr>
        <w:t>1.1.1合同</w:t>
      </w:r>
    </w:p>
    <w:p w14:paraId="31F9D3E7">
      <w:pPr>
        <w:snapToGrid w:val="0"/>
        <w:spacing w:line="440" w:lineRule="exact"/>
        <w:ind w:firstLine="420" w:firstLineChars="200"/>
        <w:rPr>
          <w:rFonts w:ascii="宋体" w:cs="宋体"/>
          <w:color w:val="auto"/>
          <w:kern w:val="0"/>
          <w:szCs w:val="21"/>
          <w:highlight w:val="none"/>
        </w:rPr>
      </w:pPr>
      <w:r>
        <w:rPr>
          <w:rFonts w:hint="eastAsia" w:ascii="宋体" w:cs="宋体"/>
          <w:color w:val="auto"/>
          <w:kern w:val="0"/>
          <w:szCs w:val="21"/>
          <w:highlight w:val="none"/>
        </w:rPr>
        <w:t>1.1.1.10其他合同文件包括：</w:t>
      </w:r>
      <w:r>
        <w:rPr>
          <w:rFonts w:hint="eastAsia" w:ascii="宋体" w:cs="宋体"/>
          <w:color w:val="auto"/>
          <w:szCs w:val="21"/>
          <w:highlight w:val="none"/>
          <w:u w:val="single"/>
        </w:rPr>
        <w:t>本项目招标文件、在合同订立及履行过程中形成的与合同有关的文件均构成合同文件组成部分。</w:t>
      </w:r>
    </w:p>
    <w:p w14:paraId="75435477">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1.1.2 合同当事人及其他相关方</w:t>
      </w:r>
    </w:p>
    <w:p w14:paraId="59D6FD96">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1.1.2.4发包人：</w:t>
      </w:r>
    </w:p>
    <w:p w14:paraId="0DC50D8F">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名    称：</w:t>
      </w:r>
      <w:r>
        <w:rPr>
          <w:rFonts w:hint="eastAsia" w:ascii="宋体" w:cs="宋体"/>
          <w:color w:val="auto"/>
          <w:szCs w:val="21"/>
          <w:highlight w:val="none"/>
          <w:u w:val="single"/>
        </w:rPr>
        <w:t xml:space="preserve">                                         </w:t>
      </w:r>
      <w:r>
        <w:rPr>
          <w:rFonts w:hint="eastAsia" w:ascii="宋体" w:cs="宋体"/>
          <w:color w:val="auto"/>
          <w:szCs w:val="21"/>
          <w:highlight w:val="none"/>
        </w:rPr>
        <w:t>；</w:t>
      </w:r>
    </w:p>
    <w:p w14:paraId="7D51C6E2">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发包人现场联系人：</w:t>
      </w:r>
      <w:r>
        <w:rPr>
          <w:rFonts w:hint="eastAsia" w:ascii="宋体" w:cs="宋体"/>
          <w:color w:val="auto"/>
          <w:szCs w:val="21"/>
          <w:highlight w:val="none"/>
          <w:u w:val="single"/>
        </w:rPr>
        <w:t>               </w:t>
      </w:r>
      <w:r>
        <w:rPr>
          <w:rFonts w:hint="eastAsia" w:ascii="宋体" w:cs="宋体"/>
          <w:color w:val="auto"/>
          <w:szCs w:val="21"/>
          <w:highlight w:val="none"/>
        </w:rPr>
        <w:t>；</w:t>
      </w:r>
    </w:p>
    <w:p w14:paraId="146E96D4">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w:t>
      </w:r>
      <w:r>
        <w:rPr>
          <w:rFonts w:hint="eastAsia" w:ascii="宋体" w:cs="宋体"/>
          <w:color w:val="auto"/>
          <w:szCs w:val="21"/>
          <w:highlight w:val="none"/>
        </w:rPr>
        <w:t>；</w:t>
      </w:r>
    </w:p>
    <w:p w14:paraId="39A4581A">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 </w:t>
      </w:r>
      <w:r>
        <w:rPr>
          <w:rFonts w:hint="eastAsia" w:ascii="宋体" w:cs="宋体"/>
          <w:color w:val="auto"/>
          <w:szCs w:val="21"/>
          <w:highlight w:val="none"/>
        </w:rPr>
        <w:t>；</w:t>
      </w:r>
    </w:p>
    <w:p w14:paraId="3826271E">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62BA0985">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1.1.2.5 承包人：</w:t>
      </w:r>
    </w:p>
    <w:p w14:paraId="55E6CAD2">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名    称：</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1CB362EB">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资质类别和等级：</w:t>
      </w:r>
      <w:r>
        <w:rPr>
          <w:rFonts w:hint="eastAsia" w:ascii="宋体" w:cs="宋体"/>
          <w:color w:val="auto"/>
          <w:szCs w:val="21"/>
          <w:highlight w:val="none"/>
          <w:u w:val="single"/>
        </w:rPr>
        <w:t>               </w:t>
      </w:r>
      <w:r>
        <w:rPr>
          <w:rFonts w:hint="eastAsia" w:ascii="宋体" w:cs="宋体"/>
          <w:color w:val="auto"/>
          <w:szCs w:val="21"/>
          <w:highlight w:val="none"/>
        </w:rPr>
        <w:t>；</w:t>
      </w:r>
    </w:p>
    <w:p w14:paraId="77C105FB">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项目经理：</w:t>
      </w:r>
      <w:r>
        <w:rPr>
          <w:rFonts w:hint="eastAsia" w:ascii="宋体" w:cs="宋体"/>
          <w:color w:val="auto"/>
          <w:szCs w:val="21"/>
          <w:highlight w:val="none"/>
          <w:u w:val="single"/>
        </w:rPr>
        <w:t>                 </w:t>
      </w:r>
      <w:r>
        <w:rPr>
          <w:rFonts w:hint="eastAsia" w:ascii="宋体" w:cs="宋体"/>
          <w:color w:val="auto"/>
          <w:szCs w:val="21"/>
          <w:highlight w:val="none"/>
        </w:rPr>
        <w:t>；、</w:t>
      </w:r>
    </w:p>
    <w:p w14:paraId="718F857B">
      <w:pPr>
        <w:snapToGrid w:val="0"/>
        <w:spacing w:line="440" w:lineRule="exact"/>
        <w:ind w:firstLine="420" w:firstLineChars="200"/>
        <w:rPr>
          <w:color w:val="auto"/>
          <w:highlight w:val="none"/>
        </w:rPr>
      </w:pPr>
      <w:r>
        <w:rPr>
          <w:rFonts w:hint="eastAsia" w:ascii="宋体" w:cs="宋体"/>
          <w:color w:val="auto"/>
          <w:szCs w:val="21"/>
          <w:highlight w:val="none"/>
        </w:rPr>
        <w:t>项目经理资质类别和等级：</w:t>
      </w:r>
      <w:r>
        <w:rPr>
          <w:rFonts w:hint="eastAsia" w:ascii="宋体" w:cs="宋体"/>
          <w:color w:val="auto"/>
          <w:szCs w:val="21"/>
          <w:highlight w:val="none"/>
          <w:u w:val="single"/>
        </w:rPr>
        <w:t>            </w:t>
      </w:r>
      <w:r>
        <w:rPr>
          <w:rFonts w:hint="eastAsia" w:ascii="宋体" w:cs="宋体"/>
          <w:color w:val="auto"/>
          <w:szCs w:val="21"/>
          <w:highlight w:val="none"/>
        </w:rPr>
        <w:t>；</w:t>
      </w:r>
    </w:p>
    <w:p w14:paraId="10C4AC3D">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14:paraId="52A85E67">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xml:space="preserve">                    </w:t>
      </w:r>
      <w:r>
        <w:rPr>
          <w:rFonts w:hint="eastAsia" w:ascii="宋体" w:cs="宋体"/>
          <w:color w:val="auto"/>
          <w:szCs w:val="21"/>
          <w:highlight w:val="none"/>
        </w:rPr>
        <w:t>；</w:t>
      </w:r>
    </w:p>
    <w:p w14:paraId="2B7707DA">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6CD81451">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1.1.3 工程和设备</w:t>
      </w:r>
    </w:p>
    <w:p w14:paraId="55EAFFBA">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1.1.3.7 作为施工现场组成部分的其他场所包括：</w:t>
      </w:r>
      <w:r>
        <w:rPr>
          <w:rFonts w:hint="eastAsia" w:ascii="宋体" w:cs="宋体"/>
          <w:color w:val="auto"/>
          <w:szCs w:val="21"/>
          <w:highlight w:val="none"/>
          <w:u w:val="single"/>
        </w:rPr>
        <w:t xml:space="preserve"> 见施工图纸并现场确定</w:t>
      </w:r>
      <w:r>
        <w:rPr>
          <w:rFonts w:hint="eastAsia" w:ascii="宋体" w:cs="宋体"/>
          <w:color w:val="auto"/>
          <w:szCs w:val="21"/>
          <w:highlight w:val="none"/>
        </w:rPr>
        <w:t>。</w:t>
      </w:r>
    </w:p>
    <w:p w14:paraId="02480F1F">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1.1.3.9 永久占地包括：</w:t>
      </w:r>
      <w:r>
        <w:rPr>
          <w:rFonts w:hint="eastAsia" w:ascii="宋体" w:cs="宋体"/>
          <w:color w:val="auto"/>
          <w:szCs w:val="21"/>
          <w:highlight w:val="none"/>
          <w:u w:val="single"/>
        </w:rPr>
        <w:t xml:space="preserve">   见施工图纸 </w:t>
      </w:r>
      <w:r>
        <w:rPr>
          <w:rFonts w:hint="eastAsia" w:ascii="宋体" w:cs="宋体"/>
          <w:color w:val="auto"/>
          <w:kern w:val="0"/>
          <w:szCs w:val="21"/>
          <w:highlight w:val="none"/>
        </w:rPr>
        <w:t>。</w:t>
      </w:r>
    </w:p>
    <w:p w14:paraId="6500795A">
      <w:pPr>
        <w:snapToGrid w:val="0"/>
        <w:spacing w:line="440" w:lineRule="exact"/>
        <w:ind w:firstLine="420" w:firstLineChars="200"/>
        <w:jc w:val="left"/>
        <w:rPr>
          <w:rFonts w:ascii="宋体" w:cs="宋体"/>
          <w:color w:val="auto"/>
          <w:szCs w:val="21"/>
          <w:highlight w:val="none"/>
        </w:rPr>
      </w:pPr>
      <w:r>
        <w:rPr>
          <w:rFonts w:hint="eastAsia" w:ascii="宋体" w:cs="宋体"/>
          <w:color w:val="auto"/>
          <w:kern w:val="0"/>
          <w:szCs w:val="21"/>
          <w:highlight w:val="none"/>
        </w:rPr>
        <w:t>1.1.3.10 临时占地包括：</w:t>
      </w:r>
      <w:r>
        <w:rPr>
          <w:rFonts w:hint="eastAsia" w:ascii="宋体" w:cs="宋体"/>
          <w:color w:val="auto"/>
          <w:szCs w:val="21"/>
          <w:highlight w:val="none"/>
          <w:u w:val="single"/>
        </w:rPr>
        <w:t xml:space="preserve">   现场确定</w:t>
      </w:r>
      <w:r>
        <w:rPr>
          <w:rFonts w:hint="eastAsia" w:ascii="宋体" w:cs="宋体"/>
          <w:color w:val="auto"/>
          <w:kern w:val="0"/>
          <w:szCs w:val="21"/>
          <w:highlight w:val="none"/>
        </w:rPr>
        <w:t>。</w:t>
      </w:r>
    </w:p>
    <w:p w14:paraId="3E6E6434">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 xml:space="preserve">1.3法律 </w:t>
      </w:r>
    </w:p>
    <w:p w14:paraId="45685AFE">
      <w:pPr>
        <w:autoSpaceDE w:val="0"/>
        <w:autoSpaceDN w:val="0"/>
        <w:adjustRightInd w:val="0"/>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适用于合同的其他规范性文件：</w:t>
      </w:r>
      <w:r>
        <w:rPr>
          <w:rFonts w:hint="eastAsia" w:ascii="宋体" w:hAnsi="宋体" w:cs="宋体"/>
          <w:color w:val="auto"/>
          <w:szCs w:val="21"/>
          <w:highlight w:val="none"/>
          <w:u w:val="single"/>
        </w:rPr>
        <w:t>《中华人民共和国民法典》、《中华人民共和国建筑法》、《中华人民共和国招标投标法》、《建设工程质量管理条例》、《建设工程安全生产管理条例》等国家及工程所在地现行有效的法律法规和规章</w:t>
      </w:r>
      <w:r>
        <w:rPr>
          <w:rFonts w:hint="eastAsia" w:ascii="宋体" w:cs="宋体"/>
          <w:color w:val="auto"/>
          <w:szCs w:val="21"/>
          <w:highlight w:val="none"/>
          <w:u w:val="single"/>
        </w:rPr>
        <w:t>。</w:t>
      </w:r>
    </w:p>
    <w:p w14:paraId="67EFBED3">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1.4 标准和规范</w:t>
      </w:r>
    </w:p>
    <w:p w14:paraId="4D158412">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1.4.1适用于工程的标准规范包括：</w:t>
      </w:r>
      <w:r>
        <w:rPr>
          <w:rFonts w:hint="eastAsia" w:ascii="宋体" w:cs="宋体"/>
          <w:color w:val="auto"/>
          <w:szCs w:val="21"/>
          <w:highlight w:val="none"/>
          <w:u w:val="single"/>
        </w:rPr>
        <w:t>中华人民共和国住房和城乡建设部等部门及省、市发布的有关文件</w:t>
      </w:r>
      <w:r>
        <w:rPr>
          <w:rFonts w:hint="eastAsia" w:ascii="宋体" w:cs="宋体"/>
          <w:color w:val="auto"/>
          <w:szCs w:val="21"/>
          <w:highlight w:val="none"/>
        </w:rPr>
        <w:t>。</w:t>
      </w:r>
    </w:p>
    <w:p w14:paraId="56F4C925">
      <w:pPr>
        <w:snapToGrid w:val="0"/>
        <w:spacing w:line="440" w:lineRule="exact"/>
        <w:ind w:firstLine="420" w:firstLineChars="200"/>
        <w:rPr>
          <w:rFonts w:ascii="宋体" w:cs="宋体"/>
          <w:color w:val="auto"/>
          <w:kern w:val="0"/>
          <w:szCs w:val="21"/>
          <w:highlight w:val="none"/>
        </w:rPr>
      </w:pPr>
      <w:r>
        <w:rPr>
          <w:rFonts w:hint="eastAsia" w:ascii="宋体" w:cs="宋体"/>
          <w:color w:val="auto"/>
          <w:kern w:val="0"/>
          <w:szCs w:val="21"/>
          <w:highlight w:val="none"/>
        </w:rPr>
        <w:t>1.4.2 发包人提供国外标准、规范的名称：</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承包人自备国内现行适用的标准、规范</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489D94B4">
      <w:pPr>
        <w:snapToGrid w:val="0"/>
        <w:spacing w:line="440" w:lineRule="exact"/>
        <w:ind w:firstLine="420" w:firstLineChars="200"/>
        <w:rPr>
          <w:rFonts w:ascii="宋体" w:cs="宋体"/>
          <w:color w:val="auto"/>
          <w:kern w:val="0"/>
          <w:szCs w:val="21"/>
          <w:highlight w:val="none"/>
        </w:rPr>
      </w:pPr>
      <w:r>
        <w:rPr>
          <w:rFonts w:hint="eastAsia" w:ascii="宋体" w:cs="宋体"/>
          <w:color w:val="auto"/>
          <w:kern w:val="0"/>
          <w:szCs w:val="21"/>
          <w:highlight w:val="none"/>
        </w:rPr>
        <w:t>发包人提供国外标准、规范的份数：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41C7417A">
      <w:pPr>
        <w:snapToGrid w:val="0"/>
        <w:spacing w:line="440" w:lineRule="exact"/>
        <w:ind w:firstLine="420" w:firstLineChars="200"/>
        <w:rPr>
          <w:rFonts w:ascii="宋体" w:cs="宋体"/>
          <w:color w:val="auto"/>
          <w:szCs w:val="21"/>
          <w:highlight w:val="none"/>
        </w:rPr>
      </w:pPr>
      <w:r>
        <w:rPr>
          <w:rFonts w:hint="eastAsia" w:ascii="宋体" w:cs="宋体"/>
          <w:color w:val="auto"/>
          <w:kern w:val="0"/>
          <w:szCs w:val="21"/>
          <w:highlight w:val="none"/>
        </w:rPr>
        <w:t>发包人提供国外标准、规范的名称：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5DB12075">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1.4.3发包人对工程的技术标准和功能要求的特殊要求：</w:t>
      </w:r>
      <w:r>
        <w:rPr>
          <w:rFonts w:hint="eastAsia" w:ascii="宋体" w:cs="宋体"/>
          <w:color w:val="auto"/>
          <w:szCs w:val="21"/>
          <w:highlight w:val="none"/>
          <w:u w:val="single"/>
        </w:rPr>
        <w:t xml:space="preserve">按现行规范执行  </w:t>
      </w:r>
      <w:r>
        <w:rPr>
          <w:rFonts w:hint="eastAsia" w:ascii="宋体" w:cs="宋体"/>
          <w:color w:val="auto"/>
          <w:szCs w:val="21"/>
          <w:highlight w:val="none"/>
        </w:rPr>
        <w:t>。</w:t>
      </w:r>
    </w:p>
    <w:p w14:paraId="22065842">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1.5 合同文件的优先顺序</w:t>
      </w:r>
    </w:p>
    <w:p w14:paraId="47E2554B">
      <w:pPr>
        <w:snapToGrid w:val="0"/>
        <w:spacing w:line="440" w:lineRule="exact"/>
        <w:ind w:firstLine="420" w:firstLineChars="200"/>
        <w:rPr>
          <w:color w:val="auto"/>
          <w:highlight w:val="none"/>
        </w:rPr>
      </w:pPr>
      <w:r>
        <w:rPr>
          <w:rFonts w:hint="eastAsia" w:ascii="宋体" w:cs="宋体"/>
          <w:color w:val="auto"/>
          <w:szCs w:val="21"/>
          <w:highlight w:val="none"/>
        </w:rPr>
        <w:t>合同文件组成及优先顺序为：</w:t>
      </w:r>
      <w:r>
        <w:rPr>
          <w:rFonts w:hint="eastAsia" w:ascii="宋体" w:cs="宋体"/>
          <w:color w:val="auto"/>
          <w:szCs w:val="21"/>
          <w:highlight w:val="none"/>
          <w:u w:val="single"/>
        </w:rPr>
        <w:t>（1）合同协议书；（2）中标通知书；（3）确认函及其附录；（4）招标文件；（5）专用合同条款及其附件；（6）通用合同条款；（7）技术标准和要求；（8）图纸；（9）已标价工程量清单或预算书；（10）其他合同文件。</w:t>
      </w:r>
    </w:p>
    <w:p w14:paraId="4B6B9BD4">
      <w:pPr>
        <w:pStyle w:val="2"/>
        <w:spacing w:line="440" w:lineRule="exact"/>
        <w:ind w:left="0" w:leftChars="0" w:firstLine="420"/>
        <w:rPr>
          <w:color w:val="auto"/>
          <w:highlight w:val="none"/>
        </w:rPr>
      </w:pPr>
      <w:r>
        <w:rPr>
          <w:color w:val="auto"/>
          <w:highlight w:val="none"/>
        </w:rPr>
        <w:t>上述各项合同文件包括合同当事人就该项合同文件所作出的补充和修改，属于同一类内容的文件，应以最新签署的为准。</w:t>
      </w:r>
    </w:p>
    <w:p w14:paraId="43E2CC29">
      <w:pPr>
        <w:pStyle w:val="2"/>
        <w:spacing w:line="440" w:lineRule="exact"/>
        <w:ind w:left="0" w:leftChars="0" w:firstLine="420"/>
        <w:rPr>
          <w:color w:val="auto"/>
          <w:highlight w:val="none"/>
        </w:rPr>
      </w:pPr>
      <w:r>
        <w:rPr>
          <w:color w:val="auto"/>
          <w:highlight w:val="none"/>
        </w:rPr>
        <w:t>在合同订立及履行过程中形成的与合同有关的文件均构成合同文件组成部分，并根据其性质确定优先解释顺序。</w:t>
      </w:r>
    </w:p>
    <w:p w14:paraId="2F645A52">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1.6 图纸和承包人文件</w:t>
      </w:r>
      <w:r>
        <w:rPr>
          <w:rFonts w:hint="eastAsia" w:ascii="宋体" w:cs="宋体"/>
          <w:color w:val="auto"/>
          <w:szCs w:val="21"/>
          <w:highlight w:val="none"/>
        </w:rPr>
        <w:tab/>
      </w:r>
    </w:p>
    <w:p w14:paraId="5FD14BF0">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 xml:space="preserve">1.6.1 </w:t>
      </w:r>
      <w:r>
        <w:rPr>
          <w:rFonts w:hint="eastAsia" w:ascii="宋体" w:hAnsi="宋体" w:cs="宋体"/>
          <w:color w:val="auto"/>
          <w:highlight w:val="none"/>
        </w:rPr>
        <w:t>图纸的提供和交底</w:t>
      </w:r>
    </w:p>
    <w:p w14:paraId="5577A953">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发包人向承包人提供图纸的期限：</w:t>
      </w:r>
      <w:r>
        <w:rPr>
          <w:rFonts w:hint="eastAsia" w:ascii="宋体" w:cs="宋体"/>
          <w:color w:val="auto"/>
          <w:szCs w:val="21"/>
          <w:highlight w:val="none"/>
          <w:u w:val="single"/>
        </w:rPr>
        <w:t xml:space="preserve"> 开工前14天</w:t>
      </w:r>
      <w:r>
        <w:rPr>
          <w:rFonts w:hint="eastAsia" w:ascii="宋体" w:cs="宋体"/>
          <w:color w:val="auto"/>
          <w:szCs w:val="21"/>
          <w:highlight w:val="none"/>
        </w:rPr>
        <w:t>；</w:t>
      </w:r>
    </w:p>
    <w:p w14:paraId="6E692156">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发包人向承包人提供图纸的数量：</w:t>
      </w:r>
      <w:r>
        <w:rPr>
          <w:rFonts w:hint="eastAsia" w:ascii="宋体" w:cs="宋体"/>
          <w:color w:val="auto"/>
          <w:szCs w:val="21"/>
          <w:highlight w:val="none"/>
          <w:u w:val="single"/>
        </w:rPr>
        <w:t xml:space="preserve">3份 </w:t>
      </w:r>
      <w:r>
        <w:rPr>
          <w:rFonts w:hint="eastAsia" w:ascii="宋体" w:cs="宋体"/>
          <w:color w:val="auto"/>
          <w:szCs w:val="21"/>
          <w:highlight w:val="none"/>
        </w:rPr>
        <w:t>；</w:t>
      </w:r>
    </w:p>
    <w:p w14:paraId="33E8EA57">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发包人向承包人提供图纸的内容：</w:t>
      </w:r>
      <w:r>
        <w:rPr>
          <w:rFonts w:hint="eastAsia" w:ascii="宋体" w:cs="宋体"/>
          <w:color w:val="auto"/>
          <w:szCs w:val="21"/>
          <w:highlight w:val="none"/>
          <w:u w:val="single"/>
        </w:rPr>
        <w:t>全套施工图 </w:t>
      </w:r>
      <w:r>
        <w:rPr>
          <w:rFonts w:hint="eastAsia" w:ascii="宋体" w:cs="宋体"/>
          <w:color w:val="auto"/>
          <w:szCs w:val="21"/>
          <w:highlight w:val="none"/>
        </w:rPr>
        <w:t>。</w:t>
      </w:r>
    </w:p>
    <w:p w14:paraId="36322C61">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1.6.4 承包人文件</w:t>
      </w:r>
    </w:p>
    <w:p w14:paraId="6FEF674B">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需要由承包人提供的文件，包括：</w:t>
      </w:r>
      <w:r>
        <w:rPr>
          <w:rFonts w:hint="eastAsia" w:ascii="宋体" w:cs="宋体"/>
          <w:color w:val="auto"/>
          <w:szCs w:val="21"/>
          <w:highlight w:val="none"/>
          <w:u w:val="single"/>
        </w:rPr>
        <w:t xml:space="preserve">包括但不限于项目部人员证书（在领取中标通知书前）、项目部任命文、实施性施工组织设计等  </w:t>
      </w:r>
      <w:r>
        <w:rPr>
          <w:rFonts w:hint="eastAsia" w:ascii="宋体" w:cs="宋体"/>
          <w:color w:val="auto"/>
          <w:szCs w:val="21"/>
          <w:highlight w:val="none"/>
        </w:rPr>
        <w:t>；</w:t>
      </w:r>
    </w:p>
    <w:p w14:paraId="6E081974">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承包人提供的文件的期限为：</w:t>
      </w:r>
      <w:r>
        <w:rPr>
          <w:rFonts w:hint="eastAsia" w:ascii="宋体" w:cs="宋体"/>
          <w:color w:val="auto"/>
          <w:szCs w:val="21"/>
          <w:highlight w:val="none"/>
          <w:u w:val="single"/>
        </w:rPr>
        <w:t xml:space="preserve">进场前7日内   </w:t>
      </w:r>
      <w:r>
        <w:rPr>
          <w:rFonts w:hint="eastAsia" w:ascii="宋体" w:cs="宋体"/>
          <w:color w:val="auto"/>
          <w:szCs w:val="21"/>
          <w:highlight w:val="none"/>
        </w:rPr>
        <w:t>；</w:t>
      </w:r>
    </w:p>
    <w:p w14:paraId="275CF619">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承包人提供的文件的数量为：</w:t>
      </w:r>
      <w:r>
        <w:rPr>
          <w:rFonts w:hint="eastAsia" w:ascii="宋体" w:cs="宋体"/>
          <w:color w:val="auto"/>
          <w:szCs w:val="21"/>
          <w:highlight w:val="none"/>
          <w:u w:val="single"/>
        </w:rPr>
        <w:t xml:space="preserve"> 一份  </w:t>
      </w:r>
      <w:r>
        <w:rPr>
          <w:rFonts w:hint="eastAsia" w:ascii="宋体" w:cs="宋体"/>
          <w:color w:val="auto"/>
          <w:szCs w:val="21"/>
          <w:highlight w:val="none"/>
        </w:rPr>
        <w:t>；</w:t>
      </w:r>
    </w:p>
    <w:p w14:paraId="126568A1">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承包人提供的文件的形式为：</w:t>
      </w:r>
      <w:r>
        <w:rPr>
          <w:rFonts w:hint="eastAsia" w:ascii="宋体" w:cs="宋体"/>
          <w:color w:val="auto"/>
          <w:szCs w:val="21"/>
          <w:highlight w:val="none"/>
          <w:u w:val="single"/>
        </w:rPr>
        <w:t>电子版及纸质版</w:t>
      </w:r>
      <w:r>
        <w:rPr>
          <w:rFonts w:hint="eastAsia" w:ascii="宋体" w:cs="宋体"/>
          <w:color w:val="auto"/>
          <w:szCs w:val="21"/>
          <w:highlight w:val="none"/>
        </w:rPr>
        <w:t>；</w:t>
      </w:r>
    </w:p>
    <w:p w14:paraId="0DBE503E">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发包人审批承包人文件的期限：</w:t>
      </w:r>
      <w:r>
        <w:rPr>
          <w:rFonts w:hint="eastAsia" w:ascii="宋体" w:cs="宋体"/>
          <w:color w:val="auto"/>
          <w:szCs w:val="21"/>
          <w:highlight w:val="none"/>
          <w:u w:val="single"/>
        </w:rPr>
        <w:t>  7天 </w:t>
      </w:r>
      <w:r>
        <w:rPr>
          <w:rFonts w:hint="eastAsia" w:ascii="宋体" w:cs="宋体"/>
          <w:color w:val="auto"/>
          <w:szCs w:val="21"/>
          <w:highlight w:val="none"/>
        </w:rPr>
        <w:t>。</w:t>
      </w:r>
    </w:p>
    <w:p w14:paraId="7B805FF6">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1.6.5 图纸和承包人文件的保管</w:t>
      </w:r>
    </w:p>
    <w:p w14:paraId="2369019D">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关于图纸和承包人文件的保管的约定：</w:t>
      </w:r>
      <w:r>
        <w:rPr>
          <w:rFonts w:hint="eastAsia" w:ascii="宋体" w:cs="宋体"/>
          <w:color w:val="auto"/>
          <w:szCs w:val="21"/>
          <w:highlight w:val="none"/>
          <w:u w:val="single"/>
        </w:rPr>
        <w:t>除专用合同条款另有约定外，承包人应在施工现场另外保存一套完整的图纸和承包人文件，供发包人、发包人及有关人员进行工程检查时使用</w:t>
      </w:r>
      <w:r>
        <w:rPr>
          <w:rFonts w:hint="eastAsia" w:ascii="宋体" w:cs="宋体"/>
          <w:color w:val="auto"/>
          <w:szCs w:val="21"/>
          <w:highlight w:val="none"/>
        </w:rPr>
        <w:t>。</w:t>
      </w:r>
    </w:p>
    <w:p w14:paraId="32D51F71">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1.7 联络</w:t>
      </w:r>
    </w:p>
    <w:p w14:paraId="700D95D5">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1.7.1发包人和承包人应当在</w:t>
      </w:r>
      <w:r>
        <w:rPr>
          <w:rFonts w:hint="eastAsia" w:ascii="宋体" w:cs="宋体"/>
          <w:color w:val="auto"/>
          <w:szCs w:val="21"/>
          <w:highlight w:val="none"/>
          <w:u w:val="single"/>
        </w:rPr>
        <w:t xml:space="preserve">7天  </w:t>
      </w:r>
      <w:r>
        <w:rPr>
          <w:rFonts w:hint="eastAsia" w:ascii="宋体" w:cs="宋体"/>
          <w:color w:val="auto"/>
          <w:kern w:val="0"/>
          <w:szCs w:val="21"/>
          <w:highlight w:val="none"/>
        </w:rPr>
        <w:t>天内将与合同有关的通知、批准、证明、证书、指示、指令、要求、请求、同意、意见、确定和决定等书面函件送达对方当事人。</w:t>
      </w:r>
    </w:p>
    <w:p w14:paraId="2BD5E964">
      <w:pPr>
        <w:snapToGrid w:val="0"/>
        <w:spacing w:line="440" w:lineRule="exact"/>
        <w:ind w:firstLine="420" w:firstLineChars="200"/>
        <w:rPr>
          <w:rFonts w:ascii="宋体" w:cs="宋体"/>
          <w:color w:val="auto"/>
          <w:kern w:val="0"/>
          <w:szCs w:val="21"/>
          <w:highlight w:val="none"/>
        </w:rPr>
      </w:pPr>
      <w:r>
        <w:rPr>
          <w:rFonts w:hint="eastAsia" w:ascii="宋体" w:cs="宋体"/>
          <w:color w:val="auto"/>
          <w:kern w:val="0"/>
          <w:szCs w:val="21"/>
          <w:highlight w:val="none"/>
        </w:rPr>
        <w:t>1.7.2 发包人接收文件的地点：</w:t>
      </w:r>
      <w:r>
        <w:rPr>
          <w:rFonts w:hint="eastAsia" w:ascii="宋体" w:cs="宋体"/>
          <w:color w:val="auto"/>
          <w:szCs w:val="21"/>
          <w:highlight w:val="none"/>
          <w:u w:val="single"/>
        </w:rPr>
        <w:t>滁州市兴全矿业投资有限公司或项目部</w:t>
      </w:r>
      <w:r>
        <w:rPr>
          <w:rFonts w:hint="eastAsia" w:ascii="宋体" w:cs="宋体"/>
          <w:color w:val="auto"/>
          <w:kern w:val="0"/>
          <w:szCs w:val="21"/>
          <w:highlight w:val="none"/>
        </w:rPr>
        <w:t>；</w:t>
      </w:r>
    </w:p>
    <w:p w14:paraId="1DEC2010">
      <w:pPr>
        <w:snapToGrid w:val="0"/>
        <w:spacing w:line="440" w:lineRule="exact"/>
        <w:ind w:firstLine="420" w:firstLineChars="200"/>
        <w:rPr>
          <w:rFonts w:ascii="宋体" w:cs="宋体"/>
          <w:color w:val="auto"/>
          <w:kern w:val="0"/>
          <w:szCs w:val="21"/>
          <w:highlight w:val="none"/>
        </w:rPr>
      </w:pPr>
      <w:r>
        <w:rPr>
          <w:rFonts w:hint="eastAsia" w:ascii="宋体" w:cs="宋体"/>
          <w:color w:val="auto"/>
          <w:kern w:val="0"/>
          <w:szCs w:val="21"/>
          <w:highlight w:val="none"/>
        </w:rPr>
        <w:t>发包人指定的接收人为：</w:t>
      </w:r>
      <w:r>
        <w:rPr>
          <w:rFonts w:hint="eastAsia" w:ascii="宋体" w:cs="宋体"/>
          <w:color w:val="auto"/>
          <w:szCs w:val="21"/>
          <w:highlight w:val="none"/>
          <w:u w:val="single"/>
        </w:rPr>
        <w:t>发包人代表</w:t>
      </w:r>
      <w:r>
        <w:rPr>
          <w:rFonts w:hint="eastAsia" w:ascii="宋体" w:cs="宋体"/>
          <w:color w:val="auto"/>
          <w:kern w:val="0"/>
          <w:szCs w:val="21"/>
          <w:highlight w:val="none"/>
        </w:rPr>
        <w:t>；</w:t>
      </w:r>
    </w:p>
    <w:p w14:paraId="331FD23F">
      <w:pPr>
        <w:snapToGrid w:val="0"/>
        <w:spacing w:line="440" w:lineRule="exact"/>
        <w:ind w:firstLine="420" w:firstLineChars="200"/>
        <w:rPr>
          <w:rFonts w:ascii="宋体" w:cs="宋体"/>
          <w:color w:val="auto"/>
          <w:kern w:val="0"/>
          <w:szCs w:val="21"/>
          <w:highlight w:val="none"/>
        </w:rPr>
      </w:pPr>
      <w:r>
        <w:rPr>
          <w:rFonts w:hint="eastAsia" w:ascii="宋体" w:cs="宋体"/>
          <w:color w:val="auto"/>
          <w:kern w:val="0"/>
          <w:szCs w:val="21"/>
          <w:highlight w:val="none"/>
        </w:rPr>
        <w:t>承包人接收文件的地点：</w:t>
      </w:r>
      <w:r>
        <w:rPr>
          <w:rFonts w:hint="eastAsia" w:ascii="宋体" w:cs="宋体"/>
          <w:color w:val="auto"/>
          <w:szCs w:val="21"/>
          <w:highlight w:val="none"/>
          <w:u w:val="single"/>
        </w:rPr>
        <w:t> 滁州市兴全矿业投资有限公司或项目部</w:t>
      </w:r>
      <w:r>
        <w:rPr>
          <w:rFonts w:hint="eastAsia" w:ascii="宋体" w:cs="宋体"/>
          <w:color w:val="auto"/>
          <w:kern w:val="0"/>
          <w:szCs w:val="21"/>
          <w:highlight w:val="none"/>
        </w:rPr>
        <w:t>；</w:t>
      </w:r>
    </w:p>
    <w:p w14:paraId="7C06DDD4">
      <w:pPr>
        <w:snapToGrid w:val="0"/>
        <w:spacing w:line="440" w:lineRule="exact"/>
        <w:ind w:firstLine="420" w:firstLineChars="200"/>
        <w:rPr>
          <w:rFonts w:ascii="宋体" w:cs="宋体"/>
          <w:color w:val="auto"/>
          <w:kern w:val="0"/>
          <w:szCs w:val="21"/>
          <w:highlight w:val="none"/>
        </w:rPr>
      </w:pPr>
      <w:r>
        <w:rPr>
          <w:rFonts w:hint="eastAsia" w:ascii="宋体" w:cs="宋体"/>
          <w:color w:val="auto"/>
          <w:kern w:val="0"/>
          <w:szCs w:val="21"/>
          <w:highlight w:val="none"/>
        </w:rPr>
        <w:t>承包人指定的接收人为：</w:t>
      </w:r>
      <w:r>
        <w:rPr>
          <w:rFonts w:hint="eastAsia" w:ascii="宋体" w:cs="宋体"/>
          <w:color w:val="auto"/>
          <w:szCs w:val="21"/>
          <w:highlight w:val="none"/>
          <w:u w:val="single"/>
        </w:rPr>
        <w:t>项目负责人</w:t>
      </w:r>
      <w:r>
        <w:rPr>
          <w:rFonts w:hint="eastAsia" w:ascii="宋体" w:cs="宋体"/>
          <w:color w:val="auto"/>
          <w:kern w:val="0"/>
          <w:szCs w:val="21"/>
          <w:highlight w:val="none"/>
        </w:rPr>
        <w:t>。</w:t>
      </w:r>
    </w:p>
    <w:p w14:paraId="4BDC3AF9">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1.10 交通运输</w:t>
      </w:r>
    </w:p>
    <w:p w14:paraId="7C96300A">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1.10.1 出入现场的权利</w:t>
      </w:r>
    </w:p>
    <w:p w14:paraId="5AD91BFE">
      <w:pPr>
        <w:snapToGrid w:val="0"/>
        <w:spacing w:line="440" w:lineRule="exact"/>
        <w:ind w:firstLine="420" w:firstLineChars="200"/>
        <w:rPr>
          <w:rFonts w:ascii="宋体" w:cs="宋体"/>
          <w:color w:val="auto"/>
          <w:szCs w:val="21"/>
          <w:highlight w:val="none"/>
          <w:u w:val="single"/>
        </w:rPr>
      </w:pPr>
      <w:r>
        <w:rPr>
          <w:rFonts w:hint="eastAsia" w:ascii="宋体" w:cs="宋体"/>
          <w:color w:val="auto"/>
          <w:szCs w:val="21"/>
          <w:highlight w:val="none"/>
        </w:rPr>
        <w:t>关于出入现场的权利的约定：</w:t>
      </w:r>
      <w:r>
        <w:rPr>
          <w:rFonts w:hint="eastAsia" w:ascii="宋体" w:cs="宋体"/>
          <w:color w:val="auto"/>
          <w:szCs w:val="21"/>
          <w:highlight w:val="none"/>
          <w:u w:val="single"/>
        </w:rPr>
        <w:t>发包人应根据施工需要，负责取得出入施工现场所需的批准手续和全部权利，以及取得因施工所需修建道路、桥梁以及其他基础设施的权利，并承担相关手续费用和建设费用，若该费用已包含在本项目发包范围，则由承包人自行解决并承担费用。承包人应协助发包人办理修建场外道路、桥梁以及其他基础设施的手续。</w:t>
      </w:r>
    </w:p>
    <w:p w14:paraId="76AD0C2D">
      <w:pPr>
        <w:snapToGrid w:val="0"/>
        <w:spacing w:line="440" w:lineRule="exact"/>
        <w:ind w:firstLine="420" w:firstLineChars="200"/>
        <w:rPr>
          <w:rFonts w:ascii="宋体" w:cs="宋体"/>
          <w:color w:val="auto"/>
          <w:szCs w:val="21"/>
          <w:highlight w:val="none"/>
          <w:u w:val="single"/>
        </w:rPr>
      </w:pPr>
      <w:r>
        <w:rPr>
          <w:rFonts w:hint="eastAsia" w:ascii="宋体" w:cs="宋体"/>
          <w:color w:val="auto"/>
          <w:szCs w:val="21"/>
          <w:highlight w:val="none"/>
          <w:u w:val="single"/>
        </w:rPr>
        <w:t>承包人应在订立合同前查勘施工现场，并根据工程规模及技术参数合理预见工程施工所需的进出施工现场的方式、手段、路径等。因承包人未合理预见所增加的费用和（或）延误的工期由承包人承担。</w:t>
      </w:r>
    </w:p>
    <w:p w14:paraId="4B7F4D8B">
      <w:pPr>
        <w:widowControl/>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1.10.3 场内交通</w:t>
      </w:r>
    </w:p>
    <w:p w14:paraId="6EFCFD58">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kern w:val="0"/>
          <w:szCs w:val="21"/>
          <w:highlight w:val="none"/>
        </w:rPr>
        <w:t>关于场外交通和场内交通的边界的约定：</w:t>
      </w:r>
      <w:r>
        <w:rPr>
          <w:rFonts w:hint="eastAsia" w:ascii="宋体" w:cs="宋体"/>
          <w:color w:val="auto"/>
          <w:szCs w:val="21"/>
          <w:highlight w:val="none"/>
          <w:u w:val="single"/>
        </w:rPr>
        <w:t>场内交通边界现场确定</w:t>
      </w:r>
      <w:r>
        <w:rPr>
          <w:rFonts w:hint="eastAsia" w:ascii="宋体" w:cs="宋体"/>
          <w:color w:val="auto"/>
          <w:szCs w:val="21"/>
          <w:highlight w:val="none"/>
        </w:rPr>
        <w:t>。</w:t>
      </w:r>
    </w:p>
    <w:p w14:paraId="5BA000A0">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关于发包人向承包人免费提供满足工程施工需要的场内道路和交通设施的约定：</w:t>
      </w:r>
      <w:r>
        <w:rPr>
          <w:rFonts w:hint="eastAsia" w:ascii="宋体" w:cs="宋体"/>
          <w:color w:val="auto"/>
          <w:szCs w:val="21"/>
          <w:highlight w:val="none"/>
          <w:u w:val="single"/>
        </w:rPr>
        <w:t xml:space="preserve">自行踏勘，自行解决 </w:t>
      </w:r>
      <w:r>
        <w:rPr>
          <w:rFonts w:hint="eastAsia" w:ascii="宋体" w:cs="宋体"/>
          <w:color w:val="auto"/>
          <w:szCs w:val="21"/>
          <w:highlight w:val="none"/>
        </w:rPr>
        <w:t>。</w:t>
      </w:r>
    </w:p>
    <w:p w14:paraId="0C18F935">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1.10.4超大件和超重件的运输</w:t>
      </w:r>
    </w:p>
    <w:p w14:paraId="440CAE93">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运输超大件或超重件所需的道路和桥梁临时加固改造费用和其他有关费用由</w:t>
      </w:r>
      <w:r>
        <w:rPr>
          <w:rFonts w:hint="eastAsia" w:ascii="宋体" w:cs="宋体"/>
          <w:color w:val="auto"/>
          <w:szCs w:val="21"/>
          <w:highlight w:val="none"/>
          <w:u w:val="single"/>
        </w:rPr>
        <w:t xml:space="preserve">  承包方 </w:t>
      </w:r>
      <w:r>
        <w:rPr>
          <w:rFonts w:hint="eastAsia" w:ascii="宋体" w:cs="宋体"/>
          <w:color w:val="auto"/>
          <w:szCs w:val="21"/>
          <w:highlight w:val="none"/>
        </w:rPr>
        <w:t>承担。</w:t>
      </w:r>
    </w:p>
    <w:p w14:paraId="7B40BECA">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1.11 知识产权</w:t>
      </w:r>
    </w:p>
    <w:p w14:paraId="1742AB69">
      <w:pPr>
        <w:snapToGrid w:val="0"/>
        <w:spacing w:line="440" w:lineRule="exact"/>
        <w:ind w:firstLine="420" w:firstLineChars="200"/>
        <w:rPr>
          <w:rFonts w:ascii="宋体" w:cs="宋体"/>
          <w:color w:val="auto"/>
          <w:szCs w:val="21"/>
          <w:highlight w:val="none"/>
          <w:u w:val="single"/>
        </w:rPr>
      </w:pPr>
      <w:r>
        <w:rPr>
          <w:rFonts w:hint="eastAsia" w:ascii="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cs="宋体"/>
          <w:color w:val="auto"/>
          <w:szCs w:val="21"/>
          <w:highlight w:val="none"/>
          <w:u w:val="single"/>
        </w:rPr>
        <w:t xml:space="preserve">发包人 </w:t>
      </w:r>
      <w:r>
        <w:rPr>
          <w:rFonts w:hint="eastAsia" w:ascii="宋体" w:cs="宋体"/>
          <w:color w:val="auto"/>
          <w:szCs w:val="21"/>
          <w:highlight w:val="none"/>
        </w:rPr>
        <w:t>。</w:t>
      </w:r>
    </w:p>
    <w:p w14:paraId="245DC27F">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关于发包人提供的上述文件的使用限制的要求：</w:t>
      </w:r>
      <w:r>
        <w:rPr>
          <w:rFonts w:hint="eastAsia" w:ascii="宋体" w:cs="宋体"/>
          <w:color w:val="auto"/>
          <w:szCs w:val="21"/>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p>
    <w:p w14:paraId="08924DB6">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1.11.2 关于承包人为实施工程所编制文件的著作权的归属：</w:t>
      </w:r>
      <w:r>
        <w:rPr>
          <w:rFonts w:hint="eastAsia" w:ascii="宋体" w:cs="宋体"/>
          <w:color w:val="auto"/>
          <w:szCs w:val="21"/>
          <w:highlight w:val="none"/>
          <w:u w:val="single"/>
        </w:rPr>
        <w:t xml:space="preserve"> 发包人  </w:t>
      </w:r>
      <w:r>
        <w:rPr>
          <w:rFonts w:hint="eastAsia" w:ascii="宋体" w:cs="宋体"/>
          <w:color w:val="auto"/>
          <w:szCs w:val="21"/>
          <w:highlight w:val="none"/>
        </w:rPr>
        <w:t>。</w:t>
      </w:r>
    </w:p>
    <w:p w14:paraId="17B1128B">
      <w:pPr>
        <w:snapToGrid w:val="0"/>
        <w:spacing w:line="440" w:lineRule="exact"/>
        <w:ind w:firstLine="420" w:firstLineChars="200"/>
        <w:rPr>
          <w:rFonts w:ascii="宋体" w:cs="宋体"/>
          <w:color w:val="auto"/>
          <w:szCs w:val="21"/>
          <w:highlight w:val="none"/>
          <w:u w:val="single"/>
        </w:rPr>
      </w:pPr>
      <w:r>
        <w:rPr>
          <w:rFonts w:hint="eastAsia" w:ascii="宋体" w:cs="宋体"/>
          <w:color w:val="auto"/>
          <w:szCs w:val="21"/>
          <w:highlight w:val="none"/>
        </w:rPr>
        <w:t>关于承包人提供的上述文件的使用限制的要求：</w:t>
      </w:r>
      <w:r>
        <w:rPr>
          <w:rFonts w:hint="eastAsia" w:ascii="宋体" w:cs="宋体"/>
          <w:color w:val="auto"/>
          <w:szCs w:val="21"/>
          <w:highlight w:val="none"/>
          <w:u w:val="single"/>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0293A617">
      <w:pPr>
        <w:snapToGrid w:val="0"/>
        <w:spacing w:line="440" w:lineRule="exact"/>
        <w:ind w:firstLine="420" w:firstLineChars="200"/>
        <w:rPr>
          <w:rFonts w:ascii="宋体" w:cs="宋体"/>
          <w:color w:val="auto"/>
          <w:kern w:val="0"/>
          <w:szCs w:val="21"/>
          <w:highlight w:val="none"/>
        </w:rPr>
      </w:pPr>
      <w:r>
        <w:rPr>
          <w:rFonts w:hint="eastAsia" w:ascii="宋体" w:cs="宋体"/>
          <w:color w:val="auto"/>
          <w:szCs w:val="21"/>
          <w:highlight w:val="none"/>
        </w:rPr>
        <w:t>1.11.4 承包人在施工过程中所采用的专利、专有技术、技术秘密的使用费的承担方式：</w:t>
      </w:r>
      <w:r>
        <w:rPr>
          <w:rFonts w:hint="eastAsia" w:ascii="宋体" w:cs="宋体"/>
          <w:color w:val="auto"/>
          <w:szCs w:val="21"/>
          <w:highlight w:val="none"/>
          <w:u w:val="single"/>
        </w:rPr>
        <w:t>该费用已包含在签约合同价中。</w:t>
      </w:r>
    </w:p>
    <w:p w14:paraId="34877EA2">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1.13工程量清单错误的修正</w:t>
      </w:r>
    </w:p>
    <w:p w14:paraId="05FDBAC5">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出现工程量清单错误时，是否调整合同价格：</w:t>
      </w:r>
      <w:r>
        <w:rPr>
          <w:rFonts w:hint="eastAsia" w:ascii="宋体" w:hAnsi="宋体" w:cs="宋体"/>
          <w:color w:val="auto"/>
          <w:szCs w:val="21"/>
          <w:highlight w:val="none"/>
          <w:u w:val="single"/>
        </w:rPr>
        <w:t xml:space="preserve">  是，具体调整方式见下款  </w:t>
      </w:r>
      <w:r>
        <w:rPr>
          <w:rFonts w:hint="eastAsia" w:ascii="宋体" w:hAnsi="宋体" w:cs="宋体"/>
          <w:color w:val="auto"/>
          <w:szCs w:val="21"/>
          <w:highlight w:val="none"/>
        </w:rPr>
        <w:t>。</w:t>
      </w:r>
    </w:p>
    <w:p w14:paraId="73EB4794">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允许调整合同价格的工程量偏差范围：</w:t>
      </w:r>
    </w:p>
    <w:p w14:paraId="65BED45D">
      <w:pPr>
        <w:snapToGrid w:val="0"/>
        <w:spacing w:line="440" w:lineRule="exact"/>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承包人拒绝实施因此产生变化的施工内容或范围，将被视为违约，发包人视情节轻重给予违约处罚。结算时，工程量按实计算。结算工程量减少0-100%或增加15%以内部分，执行中标单价；超出15%以外部分，结算单价按最高投标限价单价×投标让利幅度计算且结算单价不得高于中标单价；缺漏项目单价按照最高投标限价的编制原则重新组价×投标让利幅度（上述投标让利幅度为中标价/最高投标限价，其中中标价和最高投标限价均扣除暂列金额、暂估价及相应税金）。</w:t>
      </w:r>
    </w:p>
    <w:p w14:paraId="2C251657">
      <w:pPr>
        <w:snapToGrid w:val="0"/>
        <w:spacing w:line="44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技术措施费调整：</w:t>
      </w:r>
      <w:r>
        <w:rPr>
          <w:rFonts w:hint="eastAsia" w:ascii="宋体" w:hAnsi="宋体" w:cs="宋体"/>
          <w:b/>
          <w:color w:val="auto"/>
          <w:szCs w:val="21"/>
          <w:highlight w:val="none"/>
          <w:u w:val="single"/>
        </w:rPr>
        <w:t xml:space="preserve"> 因承包人改变施工技术措施，造成的价格变动，措施费不予调整。因工程量清单错误必须改变原来施工技术措施，造成价格变动的，按实调整，变更组价原则同上。</w:t>
      </w:r>
    </w:p>
    <w:p w14:paraId="4CEA306F">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组织措施费调整：</w:t>
      </w:r>
      <w:r>
        <w:rPr>
          <w:rFonts w:hint="eastAsia" w:ascii="宋体" w:hAnsi="宋体" w:cs="宋体"/>
          <w:b/>
          <w:color w:val="auto"/>
          <w:szCs w:val="21"/>
          <w:highlight w:val="none"/>
          <w:u w:val="single"/>
        </w:rPr>
        <w:t xml:space="preserve"> 按实调整。</w:t>
      </w:r>
    </w:p>
    <w:p w14:paraId="137CB383">
      <w:pPr>
        <w:pStyle w:val="9"/>
        <w:snapToGrid w:val="0"/>
        <w:spacing w:line="440" w:lineRule="exact"/>
        <w:ind w:firstLine="420" w:firstLineChars="200"/>
        <w:rPr>
          <w:rFonts w:ascii="宋体" w:eastAsia="宋体" w:cs="宋体"/>
          <w:b w:val="0"/>
          <w:color w:val="auto"/>
          <w:sz w:val="21"/>
          <w:szCs w:val="21"/>
          <w:highlight w:val="none"/>
        </w:rPr>
      </w:pPr>
      <w:r>
        <w:rPr>
          <w:rFonts w:hint="eastAsia" w:ascii="宋体" w:eastAsia="宋体" w:cs="宋体"/>
          <w:b w:val="0"/>
          <w:color w:val="auto"/>
          <w:sz w:val="21"/>
          <w:szCs w:val="21"/>
          <w:highlight w:val="none"/>
        </w:rPr>
        <w:t>2. 发包人</w:t>
      </w:r>
    </w:p>
    <w:p w14:paraId="17C7D3B2">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2.2 发包人代表</w:t>
      </w:r>
    </w:p>
    <w:p w14:paraId="32F87A77">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发包人代表：</w:t>
      </w:r>
    </w:p>
    <w:p w14:paraId="4CDCBBCF">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w:t>
      </w:r>
      <w:r>
        <w:rPr>
          <w:rFonts w:hint="eastAsia" w:ascii="宋体" w:cs="宋体"/>
          <w:color w:val="auto"/>
          <w:szCs w:val="21"/>
          <w:highlight w:val="none"/>
        </w:rPr>
        <w:t>；</w:t>
      </w:r>
    </w:p>
    <w:p w14:paraId="6D9A11F0">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w:t>
      </w:r>
      <w:r>
        <w:rPr>
          <w:rFonts w:hint="eastAsia" w:ascii="宋体" w:cs="宋体"/>
          <w:color w:val="auto"/>
          <w:szCs w:val="21"/>
          <w:highlight w:val="none"/>
        </w:rPr>
        <w:t>；</w:t>
      </w:r>
    </w:p>
    <w:p w14:paraId="09B92FC5">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职    务：</w:t>
      </w:r>
      <w:r>
        <w:rPr>
          <w:rFonts w:hint="eastAsia" w:ascii="宋体" w:cs="宋体"/>
          <w:color w:val="auto"/>
          <w:szCs w:val="21"/>
          <w:highlight w:val="none"/>
          <w:u w:val="single"/>
        </w:rPr>
        <w:t>          </w:t>
      </w:r>
      <w:r>
        <w:rPr>
          <w:rFonts w:hint="eastAsia" w:ascii="宋体" w:cs="宋体"/>
          <w:color w:val="auto"/>
          <w:szCs w:val="21"/>
          <w:highlight w:val="none"/>
        </w:rPr>
        <w:t>；</w:t>
      </w:r>
    </w:p>
    <w:p w14:paraId="79034C40">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w:t>
      </w:r>
      <w:r>
        <w:rPr>
          <w:rFonts w:hint="eastAsia" w:ascii="宋体" w:cs="宋体"/>
          <w:color w:val="auto"/>
          <w:szCs w:val="21"/>
          <w:highlight w:val="none"/>
        </w:rPr>
        <w:t>；</w:t>
      </w:r>
    </w:p>
    <w:p w14:paraId="7D631FAC">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w:t>
      </w:r>
      <w:r>
        <w:rPr>
          <w:rFonts w:hint="eastAsia" w:ascii="宋体" w:cs="宋体"/>
          <w:color w:val="auto"/>
          <w:szCs w:val="21"/>
          <w:highlight w:val="none"/>
        </w:rPr>
        <w:t>；</w:t>
      </w:r>
    </w:p>
    <w:p w14:paraId="28875991">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w:t>
      </w:r>
      <w:r>
        <w:rPr>
          <w:rFonts w:hint="eastAsia" w:ascii="宋体" w:cs="宋体"/>
          <w:color w:val="auto"/>
          <w:szCs w:val="21"/>
          <w:highlight w:val="none"/>
        </w:rPr>
        <w:t>。</w:t>
      </w:r>
    </w:p>
    <w:p w14:paraId="2C650479">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发包人对发包人代表的授权范围如下：</w:t>
      </w:r>
      <w:r>
        <w:rPr>
          <w:rFonts w:hint="eastAsia" w:ascii="宋体" w:cs="宋体"/>
          <w:color w:val="auto"/>
          <w:szCs w:val="21"/>
          <w:highlight w:val="none"/>
          <w:u w:val="single"/>
        </w:rPr>
        <w:t>施工组织设计和总进度计划的审批权和调整权；人员在岗、工程进度、质量、安全、环保的监督检查权和建议处罚权；工程款的初步审查权；第三方检测的委托权；主要材料的质量否决权；工程量的</w:t>
      </w:r>
      <w:r>
        <w:rPr>
          <w:rFonts w:hint="eastAsia" w:ascii="宋体" w:cs="宋体"/>
          <w:color w:val="auto"/>
          <w:szCs w:val="21"/>
          <w:highlight w:val="none"/>
          <w:u w:val="single"/>
        </w:rPr>
        <w:t>初步</w:t>
      </w:r>
      <w:r>
        <w:rPr>
          <w:rFonts w:hint="eastAsia" w:ascii="宋体" w:cs="宋体"/>
          <w:color w:val="auto"/>
          <w:szCs w:val="21"/>
          <w:highlight w:val="none"/>
          <w:u w:val="single"/>
        </w:rPr>
        <w:t>确认权；工程变更签证的</w:t>
      </w:r>
      <w:r>
        <w:rPr>
          <w:rFonts w:hint="eastAsia" w:ascii="宋体" w:cs="宋体"/>
          <w:color w:val="auto"/>
          <w:szCs w:val="21"/>
          <w:highlight w:val="none"/>
          <w:u w:val="single"/>
        </w:rPr>
        <w:t>初步</w:t>
      </w:r>
      <w:r>
        <w:rPr>
          <w:rFonts w:hint="eastAsia" w:ascii="宋体" w:cs="宋体"/>
          <w:color w:val="auto"/>
          <w:szCs w:val="21"/>
          <w:highlight w:val="none"/>
          <w:u w:val="single"/>
        </w:rPr>
        <w:t>审核权；可调价格材料的价格</w:t>
      </w:r>
      <w:r>
        <w:rPr>
          <w:rFonts w:hint="eastAsia" w:ascii="宋体" w:cs="宋体"/>
          <w:color w:val="auto"/>
          <w:szCs w:val="21"/>
          <w:highlight w:val="none"/>
          <w:u w:val="single"/>
        </w:rPr>
        <w:t>初步</w:t>
      </w:r>
      <w:r>
        <w:rPr>
          <w:rFonts w:hint="eastAsia" w:ascii="宋体" w:cs="宋体"/>
          <w:color w:val="auto"/>
          <w:szCs w:val="21"/>
          <w:highlight w:val="none"/>
          <w:u w:val="single"/>
        </w:rPr>
        <w:t>确认权；工程结算的</w:t>
      </w:r>
      <w:r>
        <w:rPr>
          <w:rFonts w:hint="eastAsia" w:ascii="宋体" w:cs="宋体"/>
          <w:color w:val="auto"/>
          <w:szCs w:val="21"/>
          <w:highlight w:val="none"/>
          <w:u w:val="single"/>
        </w:rPr>
        <w:t>初步</w:t>
      </w:r>
      <w:r>
        <w:rPr>
          <w:rFonts w:hint="eastAsia" w:ascii="宋体" w:cs="宋体"/>
          <w:color w:val="auto"/>
          <w:szCs w:val="21"/>
          <w:highlight w:val="none"/>
          <w:u w:val="single"/>
        </w:rPr>
        <w:t>审核权；合同的解释；等等。</w:t>
      </w:r>
    </w:p>
    <w:p w14:paraId="0CE45D5F">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2.4 施工现场、施工条件和基础资料的提供</w:t>
      </w:r>
    </w:p>
    <w:p w14:paraId="54E589CB">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2.4.1 提供施工现场</w:t>
      </w:r>
    </w:p>
    <w:p w14:paraId="533FE14E">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关于发包人移交施工现场的期限要求：</w:t>
      </w:r>
      <w:r>
        <w:rPr>
          <w:rFonts w:hint="eastAsia" w:ascii="宋体" w:cs="宋体"/>
          <w:color w:val="auto"/>
          <w:szCs w:val="21"/>
          <w:highlight w:val="none"/>
          <w:u w:val="single"/>
        </w:rPr>
        <w:t>发包人应最迟于开工日期7天前向承包人移交施工现场。</w:t>
      </w:r>
    </w:p>
    <w:p w14:paraId="18CEA2A8">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2.4.2 提供施工条件</w:t>
      </w:r>
    </w:p>
    <w:p w14:paraId="5A860820">
      <w:pPr>
        <w:snapToGrid w:val="0"/>
        <w:spacing w:line="440" w:lineRule="exact"/>
        <w:ind w:firstLine="420" w:firstLineChars="200"/>
        <w:rPr>
          <w:rFonts w:ascii="宋体" w:cs="宋体"/>
          <w:color w:val="auto"/>
          <w:szCs w:val="21"/>
          <w:highlight w:val="none"/>
          <w:u w:val="single"/>
        </w:rPr>
      </w:pPr>
      <w:r>
        <w:rPr>
          <w:rFonts w:hint="eastAsia" w:ascii="宋体" w:cs="宋体"/>
          <w:color w:val="auto"/>
          <w:szCs w:val="21"/>
          <w:highlight w:val="none"/>
        </w:rPr>
        <w:t>关于发包人应负责提供施工所需要的条件，包括：</w:t>
      </w:r>
      <w:r>
        <w:rPr>
          <w:rFonts w:hint="eastAsia" w:ascii="宋体" w:cs="宋体"/>
          <w:color w:val="auto"/>
          <w:szCs w:val="21"/>
          <w:highlight w:val="none"/>
          <w:u w:val="single"/>
        </w:rPr>
        <w:t>协调处理施工现场周围地下管线和邻近建筑物、构筑物、古树名木的保护工作，并承担相关费用。若上述费用已包含在本项目发包范围，则由承包人自行解决并承担费用。</w:t>
      </w:r>
    </w:p>
    <w:p w14:paraId="1F4DCB91">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2.5 资金来源证明及支付担保</w:t>
      </w:r>
    </w:p>
    <w:p w14:paraId="37731B2F">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发包人提供资金来源证明的期限要求：</w:t>
      </w:r>
      <w:r>
        <w:rPr>
          <w:rFonts w:hint="eastAsia" w:ascii="宋体" w:cs="宋体"/>
          <w:color w:val="auto"/>
          <w:szCs w:val="21"/>
          <w:highlight w:val="none"/>
          <w:u w:val="single"/>
        </w:rPr>
        <w:t xml:space="preserve">自筹资金   </w:t>
      </w:r>
      <w:r>
        <w:rPr>
          <w:rFonts w:hint="eastAsia" w:ascii="宋体" w:cs="宋体"/>
          <w:color w:val="auto"/>
          <w:szCs w:val="21"/>
          <w:highlight w:val="none"/>
        </w:rPr>
        <w:t>。</w:t>
      </w:r>
    </w:p>
    <w:p w14:paraId="7A14B128">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发包人是否提供支付担保：</w:t>
      </w:r>
      <w:r>
        <w:rPr>
          <w:rFonts w:hint="eastAsia" w:ascii="宋体" w:cs="宋体"/>
          <w:color w:val="auto"/>
          <w:szCs w:val="21"/>
          <w:highlight w:val="none"/>
          <w:u w:val="single"/>
        </w:rPr>
        <w:t xml:space="preserve">不提供   </w:t>
      </w:r>
      <w:r>
        <w:rPr>
          <w:rFonts w:hint="eastAsia" w:ascii="宋体" w:cs="宋体"/>
          <w:color w:val="auto"/>
          <w:szCs w:val="21"/>
          <w:highlight w:val="none"/>
        </w:rPr>
        <w:t>。</w:t>
      </w:r>
    </w:p>
    <w:p w14:paraId="6633C9EE">
      <w:pPr>
        <w:snapToGrid w:val="0"/>
        <w:spacing w:line="440" w:lineRule="exact"/>
        <w:ind w:firstLine="420" w:firstLineChars="200"/>
        <w:rPr>
          <w:rFonts w:ascii="宋体" w:cs="宋体"/>
          <w:color w:val="auto"/>
          <w:szCs w:val="21"/>
          <w:highlight w:val="none"/>
          <w:u w:val="single"/>
        </w:rPr>
      </w:pPr>
      <w:r>
        <w:rPr>
          <w:rFonts w:hint="eastAsia" w:ascii="宋体" w:cs="宋体"/>
          <w:color w:val="auto"/>
          <w:szCs w:val="21"/>
          <w:highlight w:val="none"/>
        </w:rPr>
        <w:t>发包人提供支付担保的形式：</w:t>
      </w:r>
      <w:r>
        <w:rPr>
          <w:rFonts w:hint="eastAsia" w:ascii="宋体" w:cs="宋体"/>
          <w:color w:val="auto"/>
          <w:szCs w:val="21"/>
          <w:highlight w:val="none"/>
          <w:u w:val="single"/>
        </w:rPr>
        <w:t>无  </w:t>
      </w:r>
      <w:r>
        <w:rPr>
          <w:rFonts w:hint="eastAsia" w:ascii="宋体" w:cs="宋体"/>
          <w:color w:val="auto"/>
          <w:szCs w:val="21"/>
          <w:highlight w:val="none"/>
        </w:rPr>
        <w:t>。</w:t>
      </w:r>
    </w:p>
    <w:p w14:paraId="4F2AC239">
      <w:pPr>
        <w:pStyle w:val="9"/>
        <w:snapToGrid w:val="0"/>
        <w:spacing w:line="440" w:lineRule="exact"/>
        <w:ind w:firstLine="420" w:firstLineChars="200"/>
        <w:rPr>
          <w:rFonts w:ascii="宋体" w:eastAsia="宋体" w:cs="宋体"/>
          <w:b w:val="0"/>
          <w:color w:val="auto"/>
          <w:sz w:val="21"/>
          <w:szCs w:val="21"/>
          <w:highlight w:val="none"/>
        </w:rPr>
      </w:pPr>
      <w:r>
        <w:rPr>
          <w:rFonts w:hint="eastAsia" w:ascii="宋体" w:eastAsia="宋体" w:cs="宋体"/>
          <w:b w:val="0"/>
          <w:color w:val="auto"/>
          <w:sz w:val="21"/>
          <w:szCs w:val="21"/>
          <w:highlight w:val="none"/>
        </w:rPr>
        <w:t>3. 承包人</w:t>
      </w:r>
    </w:p>
    <w:p w14:paraId="28B36453">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3.1 承包人的一般义务</w:t>
      </w:r>
    </w:p>
    <w:p w14:paraId="598D40C5">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kern w:val="0"/>
          <w:szCs w:val="21"/>
          <w:highlight w:val="none"/>
        </w:rPr>
        <w:t>（9）</w:t>
      </w:r>
      <w:r>
        <w:rPr>
          <w:rFonts w:hint="eastAsia" w:ascii="宋体" w:cs="宋体"/>
          <w:color w:val="auto"/>
          <w:szCs w:val="21"/>
          <w:highlight w:val="none"/>
        </w:rPr>
        <w:t>承包人提交的竣工资料的内容：</w:t>
      </w:r>
      <w:r>
        <w:rPr>
          <w:rFonts w:hint="eastAsia" w:ascii="宋体" w:cs="宋体"/>
          <w:color w:val="auto"/>
          <w:szCs w:val="21"/>
          <w:highlight w:val="none"/>
          <w:u w:val="single"/>
        </w:rPr>
        <w:t xml:space="preserve">   按相关要求执行，包括但不限于竣工图、竣工报告、项目质检资料、结算资料等  </w:t>
      </w:r>
      <w:r>
        <w:rPr>
          <w:rFonts w:hint="eastAsia" w:ascii="宋体" w:cs="宋体"/>
          <w:color w:val="auto"/>
          <w:szCs w:val="21"/>
          <w:highlight w:val="none"/>
        </w:rPr>
        <w:t>。</w:t>
      </w:r>
    </w:p>
    <w:p w14:paraId="7B107C54">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承包人需要提交的竣工资料套数：</w:t>
      </w:r>
      <w:r>
        <w:rPr>
          <w:rFonts w:hint="eastAsia" w:ascii="宋体" w:cs="宋体"/>
          <w:color w:val="auto"/>
          <w:szCs w:val="21"/>
          <w:highlight w:val="none"/>
          <w:u w:val="single"/>
        </w:rPr>
        <w:t xml:space="preserve">      按相关要求执行，且不少于3套    </w:t>
      </w:r>
      <w:r>
        <w:rPr>
          <w:rFonts w:hint="eastAsia" w:ascii="宋体" w:cs="宋体"/>
          <w:color w:val="auto"/>
          <w:szCs w:val="21"/>
          <w:highlight w:val="none"/>
        </w:rPr>
        <w:t>。</w:t>
      </w:r>
    </w:p>
    <w:p w14:paraId="006B8645">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承包人提交的竣工资料的费用承担：</w:t>
      </w:r>
      <w:r>
        <w:rPr>
          <w:rFonts w:hint="eastAsia" w:ascii="宋体" w:cs="宋体"/>
          <w:color w:val="auto"/>
          <w:szCs w:val="21"/>
          <w:highlight w:val="none"/>
          <w:u w:val="single"/>
        </w:rPr>
        <w:t xml:space="preserve">   承包人           </w:t>
      </w:r>
      <w:r>
        <w:rPr>
          <w:rFonts w:hint="eastAsia" w:ascii="宋体" w:cs="宋体"/>
          <w:color w:val="auto"/>
          <w:szCs w:val="21"/>
          <w:highlight w:val="none"/>
        </w:rPr>
        <w:t>。</w:t>
      </w:r>
    </w:p>
    <w:p w14:paraId="3FF242E1">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承包人提交的竣工资料移交时间：</w:t>
      </w:r>
      <w:r>
        <w:rPr>
          <w:rFonts w:hint="eastAsia" w:ascii="宋体" w:cs="宋体"/>
          <w:color w:val="auto"/>
          <w:szCs w:val="21"/>
          <w:highlight w:val="none"/>
          <w:u w:val="single"/>
        </w:rPr>
        <w:t xml:space="preserve">     竣工验收合格后15日内   </w:t>
      </w:r>
      <w:r>
        <w:rPr>
          <w:rFonts w:hint="eastAsia" w:ascii="宋体" w:cs="宋体"/>
          <w:color w:val="auto"/>
          <w:szCs w:val="21"/>
          <w:highlight w:val="none"/>
        </w:rPr>
        <w:t>。</w:t>
      </w:r>
    </w:p>
    <w:p w14:paraId="35777037">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承包人提交的竣工资料形式要求：</w:t>
      </w:r>
      <w:r>
        <w:rPr>
          <w:rFonts w:hint="eastAsia" w:ascii="宋体" w:cs="宋体"/>
          <w:color w:val="auto"/>
          <w:szCs w:val="21"/>
          <w:highlight w:val="none"/>
          <w:u w:val="single"/>
        </w:rPr>
        <w:t xml:space="preserve">     纸质及电子形式   </w:t>
      </w:r>
      <w:r>
        <w:rPr>
          <w:rFonts w:hint="eastAsia" w:ascii="宋体" w:cs="宋体"/>
          <w:color w:val="auto"/>
          <w:szCs w:val="21"/>
          <w:highlight w:val="none"/>
        </w:rPr>
        <w:t>。</w:t>
      </w:r>
    </w:p>
    <w:p w14:paraId="140B6B59">
      <w:pPr>
        <w:numPr>
          <w:ilvl w:val="0"/>
          <w:numId w:val="5"/>
        </w:numPr>
        <w:spacing w:line="440" w:lineRule="exact"/>
        <w:rPr>
          <w:rFonts w:ascii="宋体" w:cs="宋体"/>
          <w:color w:val="auto"/>
          <w:szCs w:val="21"/>
          <w:highlight w:val="none"/>
        </w:rPr>
      </w:pPr>
      <w:r>
        <w:rPr>
          <w:rFonts w:hint="eastAsia" w:ascii="宋体" w:cs="宋体"/>
          <w:color w:val="auto"/>
          <w:kern w:val="0"/>
          <w:szCs w:val="21"/>
          <w:highlight w:val="none"/>
        </w:rPr>
        <w:t>承包人应履行的其他义务：</w:t>
      </w:r>
      <w:r>
        <w:rPr>
          <w:rFonts w:hint="eastAsia" w:ascii="宋体" w:cs="宋体"/>
          <w:color w:val="auto"/>
          <w:szCs w:val="21"/>
          <w:highlight w:val="none"/>
          <w:u w:val="single"/>
        </w:rPr>
        <w:t>①工程竣工半年(含)内完成竣工结算的；②无合同纠纷等原因拖欠农民工工资、材料款，出现群访及时处理；③质量无缺陷，及时整改到位，处理及时；④施工现场服从调度或工程进度不超过合同工期或按合同期限按时移交的；⑤月工程量进度及时完成；⑥按规定提供工程资料并及时归档的；</w:t>
      </w:r>
    </w:p>
    <w:p w14:paraId="655F1B03">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3.2 项目经理</w:t>
      </w:r>
    </w:p>
    <w:p w14:paraId="1C49BC9E">
      <w:pPr>
        <w:snapToGrid w:val="0"/>
        <w:spacing w:line="440" w:lineRule="exact"/>
        <w:ind w:firstLine="420" w:firstLineChars="200"/>
        <w:rPr>
          <w:rFonts w:ascii="宋体" w:cs="宋体"/>
          <w:color w:val="auto"/>
          <w:szCs w:val="21"/>
          <w:highlight w:val="none"/>
        </w:rPr>
      </w:pPr>
      <w:r>
        <w:rPr>
          <w:rFonts w:hint="eastAsia" w:ascii="宋体" w:cs="宋体"/>
          <w:color w:val="auto"/>
          <w:kern w:val="0"/>
          <w:szCs w:val="21"/>
          <w:highlight w:val="none"/>
        </w:rPr>
        <w:t xml:space="preserve">3.2.1 </w:t>
      </w:r>
      <w:r>
        <w:rPr>
          <w:rFonts w:hint="eastAsia" w:ascii="宋体" w:cs="宋体"/>
          <w:color w:val="auto"/>
          <w:szCs w:val="21"/>
          <w:highlight w:val="none"/>
        </w:rPr>
        <w:t>项目经理：</w:t>
      </w:r>
    </w:p>
    <w:p w14:paraId="5A77968E">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       </w:t>
      </w:r>
      <w:r>
        <w:rPr>
          <w:rFonts w:hint="eastAsia" w:ascii="宋体" w:cs="宋体"/>
          <w:color w:val="auto"/>
          <w:szCs w:val="21"/>
          <w:highlight w:val="none"/>
        </w:rPr>
        <w:t>；</w:t>
      </w:r>
    </w:p>
    <w:p w14:paraId="5FFD44B0">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       </w:t>
      </w:r>
      <w:r>
        <w:rPr>
          <w:rFonts w:hint="eastAsia" w:ascii="宋体" w:cs="宋体"/>
          <w:color w:val="auto"/>
          <w:szCs w:val="21"/>
          <w:highlight w:val="none"/>
        </w:rPr>
        <w:t>；</w:t>
      </w:r>
    </w:p>
    <w:p w14:paraId="25DD46F2">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建造师执业资格等级：</w:t>
      </w:r>
      <w:r>
        <w:rPr>
          <w:rFonts w:hint="eastAsia" w:ascii="宋体" w:cs="宋体"/>
          <w:color w:val="auto"/>
          <w:szCs w:val="21"/>
          <w:highlight w:val="none"/>
          <w:u w:val="single"/>
        </w:rPr>
        <w:t>   </w:t>
      </w:r>
      <w:r>
        <w:rPr>
          <w:rFonts w:hint="eastAsia" w:ascii="宋体" w:cs="宋体"/>
          <w:color w:val="auto"/>
          <w:szCs w:val="21"/>
          <w:highlight w:val="none"/>
        </w:rPr>
        <w:t>；</w:t>
      </w:r>
    </w:p>
    <w:p w14:paraId="6DF3F14E">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建造师注册证书号：</w:t>
      </w:r>
      <w:r>
        <w:rPr>
          <w:rFonts w:hint="eastAsia" w:ascii="宋体" w:cs="宋体"/>
          <w:color w:val="auto"/>
          <w:szCs w:val="21"/>
          <w:highlight w:val="none"/>
          <w:u w:val="single"/>
        </w:rPr>
        <w:t> </w:t>
      </w:r>
      <w:r>
        <w:rPr>
          <w:rFonts w:hint="eastAsia" w:ascii="宋体" w:cs="宋体"/>
          <w:color w:val="auto"/>
          <w:szCs w:val="21"/>
          <w:highlight w:val="none"/>
        </w:rPr>
        <w:t>；</w:t>
      </w:r>
    </w:p>
    <w:p w14:paraId="448165CA">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建造师执业印章号：</w:t>
      </w:r>
      <w:r>
        <w:rPr>
          <w:rFonts w:hint="eastAsia" w:ascii="宋体" w:cs="宋体"/>
          <w:color w:val="auto"/>
          <w:szCs w:val="21"/>
          <w:highlight w:val="none"/>
          <w:u w:val="single"/>
        </w:rPr>
        <w:t> </w:t>
      </w:r>
      <w:r>
        <w:rPr>
          <w:rFonts w:hint="eastAsia" w:ascii="宋体" w:cs="宋体"/>
          <w:color w:val="auto"/>
          <w:szCs w:val="21"/>
          <w:highlight w:val="none"/>
        </w:rPr>
        <w:t>；</w:t>
      </w:r>
    </w:p>
    <w:p w14:paraId="295ED314">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安全生产考核合格证书号：</w:t>
      </w:r>
      <w:r>
        <w:rPr>
          <w:rFonts w:hint="eastAsia" w:ascii="宋体" w:cs="宋体"/>
          <w:color w:val="auto"/>
          <w:szCs w:val="21"/>
          <w:highlight w:val="none"/>
          <w:u w:val="single"/>
        </w:rPr>
        <w:t> </w:t>
      </w:r>
      <w:r>
        <w:rPr>
          <w:rFonts w:hint="eastAsia" w:ascii="宋体" w:cs="宋体"/>
          <w:color w:val="auto"/>
          <w:szCs w:val="21"/>
          <w:highlight w:val="none"/>
        </w:rPr>
        <w:t>；</w:t>
      </w:r>
    </w:p>
    <w:p w14:paraId="177DE855">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14:paraId="61C018A6">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 </w:t>
      </w:r>
      <w:r>
        <w:rPr>
          <w:rFonts w:hint="eastAsia" w:ascii="宋体" w:cs="宋体"/>
          <w:color w:val="auto"/>
          <w:szCs w:val="21"/>
          <w:highlight w:val="none"/>
        </w:rPr>
        <w:t>；</w:t>
      </w:r>
    </w:p>
    <w:p w14:paraId="4E2DFC29">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59639DC8">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承包人对项目负责人的授权范围如下：</w:t>
      </w:r>
      <w:r>
        <w:rPr>
          <w:rFonts w:hint="eastAsia" w:ascii="宋体" w:cs="宋体"/>
          <w:color w:val="auto"/>
          <w:szCs w:val="21"/>
          <w:highlight w:val="none"/>
          <w:u w:val="single"/>
        </w:rPr>
        <w:t xml:space="preserve">由承包人明确授权范围  </w:t>
      </w:r>
      <w:r>
        <w:rPr>
          <w:rFonts w:hint="eastAsia" w:ascii="宋体" w:cs="宋体"/>
          <w:color w:val="auto"/>
          <w:szCs w:val="21"/>
          <w:highlight w:val="none"/>
        </w:rPr>
        <w:t>。</w:t>
      </w:r>
    </w:p>
    <w:p w14:paraId="27FE510D">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关于项目负责人每月在施工现场的时间要求：</w:t>
      </w:r>
      <w:r>
        <w:rPr>
          <w:rFonts w:hint="eastAsia" w:ascii="宋体" w:cs="宋体"/>
          <w:color w:val="auto"/>
          <w:szCs w:val="21"/>
          <w:highlight w:val="none"/>
          <w:u w:val="single"/>
        </w:rPr>
        <w:t>项目经理每月在岗时间不得少于20天，施工现场其他管理人员每月在岗时间不得少于22天。</w:t>
      </w:r>
    </w:p>
    <w:p w14:paraId="23EAD917">
      <w:pPr>
        <w:snapToGrid w:val="0"/>
        <w:spacing w:line="440" w:lineRule="exact"/>
        <w:ind w:firstLine="420" w:firstLineChars="200"/>
        <w:rPr>
          <w:rFonts w:ascii="宋体" w:cs="宋体"/>
          <w:color w:val="auto"/>
          <w:kern w:val="0"/>
          <w:szCs w:val="21"/>
          <w:highlight w:val="none"/>
        </w:rPr>
      </w:pPr>
      <w:r>
        <w:rPr>
          <w:rFonts w:hint="eastAsia" w:ascii="宋体" w:cs="宋体"/>
          <w:color w:val="auto"/>
          <w:kern w:val="0"/>
          <w:szCs w:val="21"/>
          <w:highlight w:val="none"/>
        </w:rPr>
        <w:t>承包人未提交劳动合同，以及没有为建造师缴纳社会保险证明的违约责任：</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签订本合同前提供，资格审查时已提供的，不再重复提供</w:t>
      </w:r>
      <w:r>
        <w:rPr>
          <w:rFonts w:hint="eastAsia" w:ascii="宋体" w:cs="宋体"/>
          <w:color w:val="auto"/>
          <w:szCs w:val="21"/>
          <w:highlight w:val="none"/>
        </w:rPr>
        <w:t>。</w:t>
      </w:r>
    </w:p>
    <w:p w14:paraId="531DA96A">
      <w:pPr>
        <w:snapToGrid w:val="0"/>
        <w:spacing w:line="440" w:lineRule="exact"/>
        <w:ind w:firstLine="420" w:firstLineChars="200"/>
        <w:rPr>
          <w:rFonts w:ascii="宋体" w:cs="宋体"/>
          <w:color w:val="auto"/>
          <w:szCs w:val="21"/>
          <w:highlight w:val="none"/>
          <w:u w:val="single"/>
        </w:rPr>
      </w:pPr>
      <w:r>
        <w:rPr>
          <w:rFonts w:hint="eastAsia" w:ascii="宋体" w:cs="宋体"/>
          <w:color w:val="auto"/>
          <w:kern w:val="0"/>
          <w:szCs w:val="21"/>
          <w:highlight w:val="none"/>
        </w:rPr>
        <w:t>项目负责人未经批准，擅自离开施工现场的违约责任：</w:t>
      </w:r>
      <w:r>
        <w:rPr>
          <w:rFonts w:hint="eastAsia" w:ascii="宋体" w:cs="宋体"/>
          <w:color w:val="auto"/>
          <w:szCs w:val="21"/>
          <w:highlight w:val="none"/>
          <w:u w:val="single"/>
        </w:rPr>
        <w:t>未按规定在岗履责的，对项目经理和技术负责人处以5000元/人·天的违约金，对施工现场其他管理人员处以1000元/人·天的违约金。项目部关键岗位人员离岗必须向发包人项目组长履行请假手续，若被相关部门日常检查和随机抽查中发现不在岗的，又未履行请假手续的，处以5000元/人·次的违约金。</w:t>
      </w:r>
    </w:p>
    <w:p w14:paraId="6C88FDC5">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3.2.3 承包人擅自更换项目负责人的违约责任：</w:t>
      </w:r>
      <w:r>
        <w:rPr>
          <w:rFonts w:hint="eastAsia" w:ascii="宋体" w:cs="宋体"/>
          <w:color w:val="auto"/>
          <w:szCs w:val="21"/>
          <w:highlight w:val="none"/>
          <w:u w:val="single"/>
        </w:rPr>
        <w:t>项目负责人变更必须经发包人批准，并满足《关于进一步加强建筑施工现场项目负责人变更行为管理的通知》及滁州市其他相关规定要求，除①因重病或重伤三个月以上，不能履行职责的；②辞职的；③发生重大质量安全责任事故，受到刑事或行政处罚，不能担任项目负责人的；④无能力履行合同责任和义务，建设单位要求更换的；⑤被责令停止职业资格的；⑥因犯罪被羁押或判刑的；⑦死亡的等原因外，原则上不得变更。其中，亡故的需提供公安部门开具的死亡证明；重大疾病的需提供三甲及以上医院证明。出国、辞职等原因提出变更的，除需提供相关证明外，须缴纳10万元违约金，否则不得变更。变更后的项目负责人必须符合本项目招标文件和响应承诺配备的同等条件人员，并按照滁州市有关规定履行变更审批程序。</w:t>
      </w:r>
    </w:p>
    <w:p w14:paraId="71BAA976">
      <w:pPr>
        <w:snapToGrid w:val="0"/>
        <w:spacing w:line="440" w:lineRule="exact"/>
        <w:ind w:firstLine="420" w:firstLineChars="200"/>
        <w:rPr>
          <w:rFonts w:ascii="宋体" w:cs="宋体"/>
          <w:color w:val="auto"/>
          <w:szCs w:val="21"/>
          <w:highlight w:val="none"/>
          <w:u w:val="single"/>
        </w:rPr>
      </w:pPr>
      <w:r>
        <w:rPr>
          <w:rFonts w:hint="eastAsia" w:ascii="宋体" w:cs="宋体"/>
          <w:color w:val="auto"/>
          <w:szCs w:val="21"/>
          <w:highlight w:val="none"/>
        </w:rPr>
        <w:t>3.2.4 承包人无正当理由拒绝更换项目经理的违约责任：</w:t>
      </w:r>
      <w:r>
        <w:rPr>
          <w:rFonts w:hint="eastAsia" w:ascii="宋体" w:cs="宋体"/>
          <w:color w:val="auto"/>
          <w:szCs w:val="21"/>
          <w:highlight w:val="none"/>
          <w:u w:val="single"/>
        </w:rPr>
        <w:t>发包人将组织对项目经理进行业务能力考核，对未按响应文件配备或经考核不合格要求更换人员的，承包人7日内必须整改调整到位。否则，对于项目经理和技术负责人，按照5000元/人•天处以违约金，对于施工现场其他管理人员按照1000元/人•天处以违约金。28日内未整改调整到位的，发包人有权终止合同，并提请相关行政主管部门对企业和人员进行“黑名单”处罚。</w:t>
      </w:r>
    </w:p>
    <w:p w14:paraId="5D948F98">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3.3 承包人人员</w:t>
      </w:r>
    </w:p>
    <w:p w14:paraId="74818EA8">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3.3.1 承包人提交项目管理机构及施工现场管理人员安排报告的期限：</w:t>
      </w:r>
      <w:r>
        <w:rPr>
          <w:rFonts w:hint="eastAsia" w:ascii="宋体" w:cs="宋体"/>
          <w:color w:val="auto"/>
          <w:szCs w:val="21"/>
          <w:highlight w:val="none"/>
          <w:u w:val="single"/>
        </w:rPr>
        <w:t>承包人应在</w:t>
      </w:r>
      <w:r>
        <w:rPr>
          <w:rFonts w:hint="eastAsia"/>
          <w:color w:val="auto"/>
          <w:highlight w:val="none"/>
          <w:u w:val="single"/>
        </w:rPr>
        <w:t>合同签订</w:t>
      </w:r>
      <w:r>
        <w:rPr>
          <w:rFonts w:hint="eastAsia" w:ascii="宋体" w:cs="宋体"/>
          <w:color w:val="auto"/>
          <w:szCs w:val="21"/>
          <w:highlight w:val="none"/>
          <w:u w:val="single"/>
        </w:rPr>
        <w:t>后7日内，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63C2B24E">
      <w:pPr>
        <w:snapToGrid w:val="0"/>
        <w:spacing w:line="440" w:lineRule="exact"/>
        <w:ind w:firstLine="420" w:firstLineChars="200"/>
        <w:rPr>
          <w:rFonts w:ascii="宋体" w:cs="宋体"/>
          <w:color w:val="auto"/>
          <w:szCs w:val="21"/>
          <w:highlight w:val="none"/>
          <w:u w:val="single"/>
        </w:rPr>
      </w:pPr>
      <w:r>
        <w:rPr>
          <w:rFonts w:hint="eastAsia" w:ascii="宋体" w:cs="宋体"/>
          <w:color w:val="auto"/>
          <w:szCs w:val="21"/>
          <w:highlight w:val="none"/>
        </w:rPr>
        <w:t>3.3.3 承包人无正当理由拒绝撤换主要施工管理人员的违约责任：</w:t>
      </w:r>
      <w:r>
        <w:rPr>
          <w:rFonts w:hint="eastAsia" w:ascii="宋体" w:cs="宋体"/>
          <w:color w:val="auto"/>
          <w:szCs w:val="21"/>
          <w:highlight w:val="none"/>
          <w:u w:val="single"/>
        </w:rPr>
        <w:t xml:space="preserve"> 发包人将组织对人员进行业务能力考核，对未按响应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14:paraId="61DD8936">
      <w:pPr>
        <w:snapToGrid w:val="0"/>
        <w:spacing w:line="440" w:lineRule="exact"/>
        <w:ind w:firstLine="420" w:firstLineChars="200"/>
        <w:rPr>
          <w:rFonts w:ascii="宋体" w:cs="宋体"/>
          <w:color w:val="auto"/>
          <w:szCs w:val="21"/>
          <w:highlight w:val="none"/>
          <w:u w:val="single"/>
        </w:rPr>
      </w:pPr>
      <w:r>
        <w:rPr>
          <w:rFonts w:hint="eastAsia" w:ascii="宋体" w:cs="宋体"/>
          <w:color w:val="auto"/>
          <w:szCs w:val="21"/>
          <w:highlight w:val="none"/>
        </w:rPr>
        <w:t>3.3.4 承包人主要施工管理人员离开施工现场的批准要求：</w:t>
      </w:r>
      <w:r>
        <w:rPr>
          <w:rFonts w:hint="eastAsia" w:ascii="宋体" w:cs="宋体"/>
          <w:color w:val="auto"/>
          <w:szCs w:val="21"/>
          <w:highlight w:val="none"/>
          <w:u w:val="single"/>
        </w:rPr>
        <w:t>未按规定在岗履责的，对项目经理和技术负责人处以5000元/人·天的违约金，对施工现场其他管理人员处以1000元/人·天的违约金。项目部关键岗位人员离岗必须向发包人项目组长履行请假手续，若被相关部门日常检查和随机抽查中发现不在岗的，又未履行请假手续的，处以5000元/人·次的违约金。</w:t>
      </w:r>
    </w:p>
    <w:p w14:paraId="5DAB85BD">
      <w:pPr>
        <w:snapToGrid w:val="0"/>
        <w:spacing w:line="440" w:lineRule="exact"/>
        <w:ind w:firstLine="420" w:firstLineChars="200"/>
        <w:rPr>
          <w:rFonts w:ascii="宋体" w:cs="宋体"/>
          <w:color w:val="auto"/>
          <w:szCs w:val="21"/>
          <w:highlight w:val="none"/>
          <w:u w:val="single"/>
        </w:rPr>
      </w:pPr>
      <w:r>
        <w:rPr>
          <w:rFonts w:hint="eastAsia" w:ascii="宋体" w:cs="宋体"/>
          <w:color w:val="auto"/>
          <w:szCs w:val="21"/>
          <w:highlight w:val="none"/>
        </w:rPr>
        <w:t>3.3.5承包人擅自更换主要施工管理人员的违约责任：按照</w:t>
      </w:r>
      <w:r>
        <w:rPr>
          <w:rFonts w:hint="eastAsia" w:ascii="宋体" w:cs="宋体"/>
          <w:color w:val="auto"/>
          <w:szCs w:val="21"/>
          <w:highlight w:val="none"/>
          <w:u w:val="single"/>
        </w:rPr>
        <w:t>未按规定在岗履责进行处罚。</w:t>
      </w:r>
    </w:p>
    <w:p w14:paraId="4B8F6B27">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3.5 分包</w:t>
      </w:r>
    </w:p>
    <w:p w14:paraId="7E631695">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3.5.1 分包的一般约定</w:t>
      </w:r>
    </w:p>
    <w:p w14:paraId="3FD4E895">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禁止分包的工程包括：</w:t>
      </w:r>
      <w:r>
        <w:rPr>
          <w:rFonts w:hint="eastAsia" w:ascii="宋体" w:cs="宋体"/>
          <w:color w:val="auto"/>
          <w:szCs w:val="21"/>
          <w:highlight w:val="none"/>
          <w:u w:val="single"/>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14:paraId="3EEB99DF">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主体结构、关键性工作的范围：</w:t>
      </w:r>
      <w:r>
        <w:rPr>
          <w:rFonts w:hint="eastAsia" w:ascii="宋体" w:cs="宋体"/>
          <w:color w:val="auto"/>
          <w:szCs w:val="21"/>
          <w:highlight w:val="none"/>
          <w:u w:val="single"/>
        </w:rPr>
        <w:t>按照相关法律法规执行</w:t>
      </w:r>
      <w:r>
        <w:rPr>
          <w:rFonts w:hint="eastAsia" w:ascii="宋体" w:cs="宋体"/>
          <w:color w:val="auto"/>
          <w:szCs w:val="21"/>
          <w:highlight w:val="none"/>
        </w:rPr>
        <w:t>。</w:t>
      </w:r>
    </w:p>
    <w:p w14:paraId="06B368E4">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3.5.2分包的确定</w:t>
      </w:r>
    </w:p>
    <w:p w14:paraId="5033F7CD">
      <w:pPr>
        <w:snapToGrid w:val="0"/>
        <w:spacing w:line="440" w:lineRule="exact"/>
        <w:ind w:firstLine="420" w:firstLineChars="200"/>
        <w:rPr>
          <w:rFonts w:ascii="宋体" w:cs="宋体"/>
          <w:color w:val="auto"/>
          <w:szCs w:val="21"/>
          <w:highlight w:val="none"/>
          <w:u w:val="single"/>
        </w:rPr>
      </w:pPr>
      <w:r>
        <w:rPr>
          <w:rFonts w:hint="eastAsia" w:ascii="宋体" w:cs="宋体"/>
          <w:color w:val="auto"/>
          <w:szCs w:val="21"/>
          <w:highlight w:val="none"/>
        </w:rPr>
        <w:t>允许分包的专业工程包括：</w:t>
      </w:r>
      <w:r>
        <w:rPr>
          <w:rFonts w:hint="eastAsia" w:ascii="宋体" w:cs="宋体"/>
          <w:color w:val="auto"/>
          <w:szCs w:val="21"/>
          <w:highlight w:val="none"/>
          <w:u w:val="single"/>
        </w:rPr>
        <w:t>无。</w:t>
      </w:r>
    </w:p>
    <w:p w14:paraId="774BB9F9">
      <w:pPr>
        <w:snapToGrid w:val="0"/>
        <w:spacing w:line="440" w:lineRule="exact"/>
        <w:ind w:firstLine="420" w:firstLineChars="200"/>
        <w:rPr>
          <w:rFonts w:ascii="宋体" w:cs="宋体"/>
          <w:color w:val="auto"/>
          <w:szCs w:val="21"/>
          <w:highlight w:val="none"/>
          <w:u w:val="single"/>
        </w:rPr>
      </w:pPr>
      <w:r>
        <w:rPr>
          <w:rFonts w:hint="eastAsia" w:ascii="宋体" w:cs="宋体"/>
          <w:color w:val="auto"/>
          <w:szCs w:val="21"/>
          <w:highlight w:val="none"/>
        </w:rPr>
        <w:t>其他关于分包的约定：</w:t>
      </w:r>
      <w:r>
        <w:rPr>
          <w:rFonts w:hint="eastAsia" w:ascii="宋体" w:cs="宋体"/>
          <w:color w:val="auto"/>
          <w:szCs w:val="21"/>
          <w:highlight w:val="none"/>
          <w:u w:val="single"/>
        </w:rPr>
        <w:t>承包人不得以劳务分包的名义转包或违法分包工程。</w:t>
      </w:r>
      <w:r>
        <w:rPr>
          <w:rFonts w:hint="eastAsia" w:ascii="宋体" w:hAnsi="宋体" w:cs="宋体"/>
          <w:b/>
          <w:bCs/>
          <w:color w:val="auto"/>
          <w:szCs w:val="21"/>
          <w:highlight w:val="none"/>
          <w:u w:val="single"/>
        </w:rPr>
        <w:t>发包人在施工进场第一个月或施工过程中发现承包人转包、挂靠等行为的，发包人立即解除合同，清退出场，承包人已完合格工程量按合同价款60%进行结算。</w:t>
      </w:r>
    </w:p>
    <w:p w14:paraId="3756E780">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3.5.4 分包合同价款</w:t>
      </w:r>
    </w:p>
    <w:p w14:paraId="7BC50778">
      <w:pPr>
        <w:snapToGrid w:val="0"/>
        <w:spacing w:line="440" w:lineRule="exact"/>
        <w:ind w:firstLine="420" w:firstLineChars="200"/>
        <w:rPr>
          <w:rFonts w:ascii="宋体" w:cs="宋体"/>
          <w:color w:val="auto"/>
          <w:szCs w:val="21"/>
          <w:highlight w:val="none"/>
          <w:u w:val="single"/>
        </w:rPr>
      </w:pPr>
      <w:r>
        <w:rPr>
          <w:rFonts w:hint="eastAsia" w:ascii="宋体" w:cs="宋体"/>
          <w:color w:val="auto"/>
          <w:szCs w:val="21"/>
          <w:highlight w:val="none"/>
        </w:rPr>
        <w:t>关于分包合同价款支付的约定：</w:t>
      </w:r>
      <w:r>
        <w:rPr>
          <w:rFonts w:hint="eastAsia" w:ascii="宋体" w:cs="宋体"/>
          <w:color w:val="auto"/>
          <w:szCs w:val="21"/>
          <w:highlight w:val="none"/>
          <w:u w:val="single"/>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cs="宋体"/>
          <w:color w:val="auto"/>
          <w:szCs w:val="21"/>
          <w:highlight w:val="none"/>
        </w:rPr>
        <w:t>。</w:t>
      </w:r>
    </w:p>
    <w:p w14:paraId="39517BA3">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3.6 工程照管与成品、半成品保护</w:t>
      </w:r>
    </w:p>
    <w:p w14:paraId="7EE0A4F0">
      <w:pPr>
        <w:snapToGrid w:val="0"/>
        <w:spacing w:line="440" w:lineRule="exact"/>
        <w:ind w:firstLine="420" w:firstLineChars="200"/>
        <w:rPr>
          <w:rFonts w:ascii="宋体" w:cs="宋体"/>
          <w:color w:val="auto"/>
          <w:kern w:val="0"/>
          <w:szCs w:val="21"/>
          <w:highlight w:val="none"/>
          <w:u w:val="single"/>
        </w:rPr>
      </w:pPr>
      <w:r>
        <w:rPr>
          <w:rFonts w:hint="eastAsia" w:ascii="宋体" w:cs="宋体"/>
          <w:color w:val="auto"/>
          <w:kern w:val="0"/>
          <w:szCs w:val="21"/>
          <w:highlight w:val="none"/>
        </w:rPr>
        <w:t>承包人负责照管工程及工程相关的材料、工程设备的起始时间：</w:t>
      </w:r>
      <w:r>
        <w:rPr>
          <w:rFonts w:hint="eastAsia" w:ascii="宋体" w:cs="宋体"/>
          <w:color w:val="auto"/>
          <w:kern w:val="0"/>
          <w:szCs w:val="21"/>
          <w:highlight w:val="none"/>
          <w:u w:val="single"/>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14:paraId="75B0F0E6">
      <w:pPr>
        <w:tabs>
          <w:tab w:val="left" w:pos="7740"/>
        </w:tabs>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3.7 履约担保</w:t>
      </w:r>
    </w:p>
    <w:p w14:paraId="4E7FDAA4">
      <w:pPr>
        <w:tabs>
          <w:tab w:val="left" w:pos="7740"/>
        </w:tabs>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承包人是否提供履约担保：</w:t>
      </w:r>
      <w:r>
        <w:rPr>
          <w:rFonts w:hint="eastAsia" w:ascii="宋体" w:cs="宋体"/>
          <w:color w:val="auto"/>
          <w:szCs w:val="21"/>
          <w:highlight w:val="none"/>
          <w:u w:val="single"/>
        </w:rPr>
        <w:t xml:space="preserve">   是  </w:t>
      </w:r>
      <w:r>
        <w:rPr>
          <w:rFonts w:hint="eastAsia" w:ascii="宋体" w:cs="宋体"/>
          <w:color w:val="auto"/>
          <w:szCs w:val="21"/>
          <w:highlight w:val="none"/>
        </w:rPr>
        <w:t>。</w:t>
      </w:r>
    </w:p>
    <w:p w14:paraId="56A42C07">
      <w:pPr>
        <w:tabs>
          <w:tab w:val="left" w:pos="7740"/>
        </w:tabs>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履约数额：中标合同价*2%；</w:t>
      </w:r>
    </w:p>
    <w:p w14:paraId="2798044E">
      <w:pPr>
        <w:tabs>
          <w:tab w:val="left" w:pos="7740"/>
        </w:tabs>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形式：支持银行转账、银行电汇、银行保函、担保机构担保、保证保险使用</w:t>
      </w:r>
    </w:p>
    <w:p w14:paraId="4E0CDCDE">
      <w:pPr>
        <w:tabs>
          <w:tab w:val="left" w:pos="7740"/>
        </w:tabs>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具体要求详见投标人须知前附表</w:t>
      </w:r>
    </w:p>
    <w:p w14:paraId="13F42783">
      <w:pPr>
        <w:tabs>
          <w:tab w:val="left" w:pos="7740"/>
        </w:tabs>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4. 监理人</w:t>
      </w:r>
    </w:p>
    <w:p w14:paraId="1FFA41E8">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4.1监理人的一般规定</w:t>
      </w:r>
    </w:p>
    <w:p w14:paraId="40080301">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关于监理人的监理内容：</w:t>
      </w:r>
      <w:r>
        <w:rPr>
          <w:rFonts w:hint="eastAsia" w:ascii="宋体" w:cs="宋体"/>
          <w:color w:val="auto"/>
          <w:szCs w:val="21"/>
          <w:highlight w:val="none"/>
          <w:u w:val="single"/>
        </w:rPr>
        <w:t xml:space="preserve">  详见监理合同 </w:t>
      </w:r>
      <w:r>
        <w:rPr>
          <w:rFonts w:hint="eastAsia" w:ascii="宋体" w:cs="宋体"/>
          <w:color w:val="auto"/>
          <w:szCs w:val="21"/>
          <w:highlight w:val="none"/>
        </w:rPr>
        <w:t>。</w:t>
      </w:r>
    </w:p>
    <w:p w14:paraId="0D0CB7B0">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关于监理人的监理权限：</w:t>
      </w:r>
      <w:r>
        <w:rPr>
          <w:rFonts w:hint="eastAsia" w:ascii="宋体" w:cs="宋体"/>
          <w:color w:val="auto"/>
          <w:szCs w:val="21"/>
          <w:highlight w:val="none"/>
          <w:u w:val="single"/>
        </w:rPr>
        <w:t xml:space="preserve"> 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项目负责人及有关人员的建议权；分包单位资质及能力的审查权；等等  </w:t>
      </w:r>
      <w:r>
        <w:rPr>
          <w:rFonts w:hint="eastAsia" w:ascii="宋体" w:cs="宋体"/>
          <w:color w:val="auto"/>
          <w:szCs w:val="21"/>
          <w:highlight w:val="none"/>
        </w:rPr>
        <w:t xml:space="preserve">。 </w:t>
      </w:r>
    </w:p>
    <w:p w14:paraId="210FC330">
      <w:pPr>
        <w:snapToGrid w:val="0"/>
        <w:spacing w:line="440" w:lineRule="exact"/>
        <w:ind w:firstLine="420" w:firstLineChars="200"/>
        <w:rPr>
          <w:rFonts w:ascii="宋体" w:cs="宋体"/>
          <w:color w:val="auto"/>
          <w:szCs w:val="21"/>
          <w:highlight w:val="none"/>
          <w:u w:val="single"/>
        </w:rPr>
      </w:pPr>
      <w:r>
        <w:rPr>
          <w:rFonts w:hint="eastAsia" w:ascii="宋体" w:cs="宋体"/>
          <w:color w:val="auto"/>
          <w:szCs w:val="21"/>
          <w:highlight w:val="none"/>
        </w:rPr>
        <w:t>关于监理人在施工现场的办公场所、生活场所的提供和费用承担的约定：</w:t>
      </w:r>
      <w:r>
        <w:rPr>
          <w:rFonts w:hint="eastAsia" w:ascii="宋体" w:cs="宋体"/>
          <w:color w:val="auto"/>
          <w:szCs w:val="21"/>
          <w:highlight w:val="none"/>
          <w:u w:val="single"/>
        </w:rPr>
        <w:t>办公场所由承包人提供和承担，生活场所由监理人自行解决和承担 。</w:t>
      </w:r>
    </w:p>
    <w:p w14:paraId="44EEE144">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4.2 监理人员</w:t>
      </w:r>
    </w:p>
    <w:p w14:paraId="1F489E7C">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总监理工程师：</w:t>
      </w:r>
    </w:p>
    <w:p w14:paraId="7910E824">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 </w:t>
      </w:r>
      <w:r>
        <w:rPr>
          <w:rFonts w:hint="eastAsia" w:ascii="宋体" w:cs="宋体"/>
          <w:color w:val="auto"/>
          <w:szCs w:val="21"/>
          <w:highlight w:val="none"/>
        </w:rPr>
        <w:t>；</w:t>
      </w:r>
    </w:p>
    <w:p w14:paraId="33534756">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职    务：</w:t>
      </w:r>
      <w:r>
        <w:rPr>
          <w:rFonts w:hint="eastAsia" w:ascii="宋体" w:cs="宋体"/>
          <w:color w:val="auto"/>
          <w:szCs w:val="21"/>
          <w:highlight w:val="none"/>
          <w:u w:val="single"/>
        </w:rPr>
        <w:t>   </w:t>
      </w:r>
      <w:r>
        <w:rPr>
          <w:rFonts w:hint="eastAsia" w:ascii="宋体" w:cs="宋体"/>
          <w:color w:val="auto"/>
          <w:szCs w:val="21"/>
          <w:highlight w:val="none"/>
        </w:rPr>
        <w:t>；</w:t>
      </w:r>
    </w:p>
    <w:p w14:paraId="3D31BA77">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监理工程师执业资格证书号：</w:t>
      </w:r>
      <w:r>
        <w:rPr>
          <w:rFonts w:hint="eastAsia" w:ascii="宋体" w:cs="宋体"/>
          <w:color w:val="auto"/>
          <w:szCs w:val="21"/>
          <w:highlight w:val="none"/>
          <w:u w:val="single"/>
        </w:rPr>
        <w:t> </w:t>
      </w:r>
      <w:r>
        <w:rPr>
          <w:rFonts w:hint="eastAsia" w:ascii="宋体" w:cs="宋体"/>
          <w:color w:val="auto"/>
          <w:szCs w:val="21"/>
          <w:highlight w:val="none"/>
        </w:rPr>
        <w:t>；</w:t>
      </w:r>
    </w:p>
    <w:p w14:paraId="013C9440">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w:t>
      </w:r>
      <w:r>
        <w:rPr>
          <w:rFonts w:hint="eastAsia" w:ascii="宋体" w:cs="宋体"/>
          <w:color w:val="auto"/>
          <w:szCs w:val="21"/>
          <w:highlight w:val="none"/>
        </w:rPr>
        <w:t>；</w:t>
      </w:r>
    </w:p>
    <w:p w14:paraId="3C32068C">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 </w:t>
      </w:r>
      <w:r>
        <w:rPr>
          <w:rFonts w:hint="eastAsia" w:ascii="宋体" w:cs="宋体"/>
          <w:color w:val="auto"/>
          <w:szCs w:val="21"/>
          <w:highlight w:val="none"/>
        </w:rPr>
        <w:t>；</w:t>
      </w:r>
    </w:p>
    <w:p w14:paraId="4AA540AB">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0E652534">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关于监理人的其他约定：</w:t>
      </w:r>
      <w:r>
        <w:rPr>
          <w:rFonts w:hint="eastAsia" w:ascii="宋体" w:cs="宋体"/>
          <w:color w:val="auto"/>
          <w:szCs w:val="21"/>
          <w:highlight w:val="none"/>
          <w:u w:val="single"/>
        </w:rPr>
        <w:t>   </w:t>
      </w:r>
      <w:r>
        <w:rPr>
          <w:rFonts w:hint="eastAsia" w:ascii="宋体" w:cs="宋体"/>
          <w:color w:val="auto"/>
          <w:szCs w:val="21"/>
          <w:highlight w:val="none"/>
        </w:rPr>
        <w:t>。</w:t>
      </w:r>
    </w:p>
    <w:p w14:paraId="3BD06C16">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4.4 商定或确定</w:t>
      </w:r>
    </w:p>
    <w:p w14:paraId="3C9A8B81">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在发包人和承包人不能通过协商达成一致意见时，发包人授权监理人对以下事项进行确定：</w:t>
      </w:r>
    </w:p>
    <w:p w14:paraId="484B85D3">
      <w:pPr>
        <w:autoSpaceDE w:val="0"/>
        <w:autoSpaceDN w:val="0"/>
        <w:adjustRightInd w:val="0"/>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（1）</w:t>
      </w:r>
      <w:r>
        <w:rPr>
          <w:rFonts w:hint="eastAsia" w:ascii="宋体" w:cs="宋体"/>
          <w:color w:val="auto"/>
          <w:szCs w:val="21"/>
          <w:highlight w:val="none"/>
          <w:u w:val="single"/>
        </w:rPr>
        <w:t xml:space="preserve">    施工方案     </w:t>
      </w:r>
      <w:r>
        <w:rPr>
          <w:rFonts w:hint="eastAsia" w:ascii="宋体" w:cs="宋体"/>
          <w:color w:val="auto"/>
          <w:szCs w:val="21"/>
          <w:highlight w:val="none"/>
        </w:rPr>
        <w:t>；</w:t>
      </w:r>
    </w:p>
    <w:p w14:paraId="5783DD7C">
      <w:pPr>
        <w:tabs>
          <w:tab w:val="left" w:pos="7740"/>
        </w:tabs>
        <w:snapToGrid w:val="0"/>
        <w:spacing w:line="440" w:lineRule="exact"/>
        <w:ind w:firstLine="420" w:firstLineChars="200"/>
        <w:rPr>
          <w:rFonts w:ascii="宋体" w:cs="宋体"/>
          <w:color w:val="auto"/>
          <w:szCs w:val="21"/>
          <w:highlight w:val="none"/>
        </w:rPr>
      </w:pPr>
      <w:r>
        <w:rPr>
          <w:rFonts w:hint="eastAsia" w:ascii="宋体" w:cs="宋体"/>
          <w:color w:val="auto"/>
          <w:kern w:val="0"/>
          <w:szCs w:val="21"/>
          <w:highlight w:val="none"/>
        </w:rPr>
        <w:t>（2）</w:t>
      </w:r>
      <w:r>
        <w:rPr>
          <w:rFonts w:hint="eastAsia" w:ascii="宋体" w:cs="宋体"/>
          <w:color w:val="auto"/>
          <w:szCs w:val="21"/>
          <w:highlight w:val="none"/>
          <w:u w:val="single"/>
        </w:rPr>
        <w:t xml:space="preserve">   索赔事项等    </w:t>
      </w:r>
      <w:r>
        <w:rPr>
          <w:rFonts w:hint="eastAsia" w:ascii="宋体" w:cs="宋体"/>
          <w:color w:val="auto"/>
          <w:szCs w:val="21"/>
          <w:highlight w:val="none"/>
        </w:rPr>
        <w:t>；</w:t>
      </w:r>
    </w:p>
    <w:p w14:paraId="6E44A644">
      <w:pPr>
        <w:pStyle w:val="9"/>
        <w:snapToGrid w:val="0"/>
        <w:spacing w:line="440" w:lineRule="exact"/>
        <w:ind w:firstLine="420" w:firstLineChars="200"/>
        <w:rPr>
          <w:rFonts w:ascii="宋体" w:eastAsia="宋体" w:cs="宋体"/>
          <w:b w:val="0"/>
          <w:color w:val="auto"/>
          <w:sz w:val="21"/>
          <w:szCs w:val="21"/>
          <w:highlight w:val="none"/>
        </w:rPr>
      </w:pPr>
      <w:r>
        <w:rPr>
          <w:rFonts w:hint="eastAsia" w:ascii="宋体" w:eastAsia="宋体" w:cs="宋体"/>
          <w:b w:val="0"/>
          <w:color w:val="auto"/>
          <w:sz w:val="21"/>
          <w:szCs w:val="21"/>
          <w:highlight w:val="none"/>
        </w:rPr>
        <w:t>5. 工程质量</w:t>
      </w:r>
    </w:p>
    <w:p w14:paraId="276985A5">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5.1 质量要求</w:t>
      </w:r>
    </w:p>
    <w:p w14:paraId="016B8B9F">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5.1.1 特殊质量标准和要求：</w:t>
      </w:r>
      <w:r>
        <w:rPr>
          <w:rFonts w:hint="eastAsia" w:ascii="宋体" w:cs="宋体"/>
          <w:color w:val="auto"/>
          <w:szCs w:val="21"/>
          <w:highlight w:val="none"/>
          <w:u w:val="single"/>
        </w:rPr>
        <w:t xml:space="preserve"> 工程质量必须达到国家工程施工质量验收 合格 标准。 </w:t>
      </w:r>
    </w:p>
    <w:p w14:paraId="1D965B9F">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关于工程奖项的约定：</w:t>
      </w:r>
      <w:r>
        <w:rPr>
          <w:rFonts w:hint="eastAsia" w:ascii="宋体" w:cs="宋体"/>
          <w:color w:val="auto"/>
          <w:szCs w:val="21"/>
          <w:highlight w:val="none"/>
          <w:u w:val="single"/>
        </w:rPr>
        <w:t xml:space="preserve"> / </w:t>
      </w:r>
      <w:r>
        <w:rPr>
          <w:rFonts w:hint="eastAsia" w:ascii="宋体" w:cs="宋体"/>
          <w:color w:val="auto"/>
          <w:szCs w:val="21"/>
          <w:highlight w:val="none"/>
        </w:rPr>
        <w:t>。</w:t>
      </w:r>
    </w:p>
    <w:p w14:paraId="7C713A89">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5.3 隐蔽工程检查</w:t>
      </w:r>
    </w:p>
    <w:p w14:paraId="0BCAABBC">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5.3.1隐蔽工程隐蔽前，承包人应当对工程隐蔽部位进行自检，并经自检确认是否具备覆盖条件。</w:t>
      </w:r>
    </w:p>
    <w:p w14:paraId="605DE7FF">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5.3.2承包人提前通知发包人隐蔽工程检查的期限的约定：工程隐蔽部位经承包人自检确认具备覆盖条件的，承包人应在共同检查前6小时书面通知发包人检查，通知中应载明隐蔽检查的内容、时间和地点，并应附有自检记录和必要的检查资料。</w:t>
      </w:r>
    </w:p>
    <w:p w14:paraId="1C95D2F3">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发包人应按时到场并对隐蔽工程及其施工工艺、材料和工程设备进行检查。经发包人检查确认质量符合隐蔽要求，并在验收记录上签字后，承包人才能进行覆盖。经发包人检查质量不合格的，承包人应在发包人指示的时间内完成修复，并由发包人重新检查，由此增加的费用和（或）延误的工期由承包人承担。</w:t>
      </w:r>
    </w:p>
    <w:p w14:paraId="530E66E0">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发包人不能按时进行检查的，应在检查前3小时向承包人提交书面延期要求，但延期不能超过6小时，由此导致工期延误的，工期应予以顺延。发包人未按时进行检查，也未提出延期要求的，视为隐蔽工程检查合格，承包人可自行完成覆盖工作，并作相应记录报送发包人，发包人应签字确认。发包人事后对检查记录有疑问的，可按第5.3.3项〔重新检查〕的约定重新检查。</w:t>
      </w:r>
    </w:p>
    <w:p w14:paraId="1D09EC90">
      <w:pPr>
        <w:pStyle w:val="9"/>
        <w:tabs>
          <w:tab w:val="left" w:pos="3315"/>
        </w:tabs>
        <w:snapToGrid w:val="0"/>
        <w:spacing w:line="440" w:lineRule="exact"/>
        <w:ind w:firstLine="420" w:firstLineChars="200"/>
        <w:rPr>
          <w:rFonts w:ascii="宋体" w:eastAsia="宋体" w:cs="宋体"/>
          <w:b w:val="0"/>
          <w:color w:val="auto"/>
          <w:sz w:val="21"/>
          <w:szCs w:val="21"/>
          <w:highlight w:val="none"/>
        </w:rPr>
      </w:pPr>
      <w:r>
        <w:rPr>
          <w:rFonts w:hint="eastAsia" w:ascii="宋体" w:eastAsia="宋体" w:cs="宋体"/>
          <w:b w:val="0"/>
          <w:color w:val="auto"/>
          <w:sz w:val="21"/>
          <w:szCs w:val="21"/>
          <w:highlight w:val="none"/>
        </w:rPr>
        <w:t>6. 安全文明施工与环境保护</w:t>
      </w:r>
      <w:r>
        <w:rPr>
          <w:rFonts w:hint="eastAsia" w:ascii="宋体" w:eastAsia="宋体" w:cs="宋体"/>
          <w:b w:val="0"/>
          <w:color w:val="auto"/>
          <w:sz w:val="21"/>
          <w:szCs w:val="21"/>
          <w:highlight w:val="none"/>
        </w:rPr>
        <w:tab/>
      </w:r>
    </w:p>
    <w:p w14:paraId="26060B87">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6.1安全文明施工</w:t>
      </w:r>
    </w:p>
    <w:p w14:paraId="2B6053E8">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6.1.1 项目安全生产的达标目标及相应事项的约定</w:t>
      </w:r>
      <w:r>
        <w:rPr>
          <w:rFonts w:hint="eastAsia" w:ascii="宋体" w:cs="宋体"/>
          <w:color w:val="auto"/>
          <w:szCs w:val="21"/>
          <w:highlight w:val="none"/>
          <w:u w:val="single"/>
        </w:rPr>
        <w:t xml:space="preserve">  /    。</w:t>
      </w:r>
    </w:p>
    <w:p w14:paraId="64ECD7EF">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6.1.4 关于治安保卫的特别约定：</w:t>
      </w:r>
      <w:r>
        <w:rPr>
          <w:rFonts w:hint="eastAsia" w:ascii="宋体" w:cs="宋体"/>
          <w:color w:val="auto"/>
          <w:szCs w:val="21"/>
          <w:highlight w:val="none"/>
          <w:u w:val="single"/>
        </w:rPr>
        <w:t xml:space="preserve"> 发包人应与当地公安部门协商，在现场建立治安管理机构或联防组织，统一管理施工场地的治安保卫事项，履行合同工程的治安保卫职责。发包人和承包人除应协助现场治安管理机构或联防组织维护施工场地的社会治安外，还应做好包括生活区在内的各自管辖区的治安保卫工作。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1C84907">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关于编制施工场地治安管理计划的约定：</w:t>
      </w:r>
      <w:r>
        <w:rPr>
          <w:rFonts w:hint="eastAsia" w:ascii="宋体" w:cs="宋体"/>
          <w:color w:val="auto"/>
          <w:szCs w:val="21"/>
          <w:highlight w:val="none"/>
          <w:u w:val="single"/>
        </w:rPr>
        <w:t xml:space="preserve">   由承包人负责       </w:t>
      </w:r>
      <w:r>
        <w:rPr>
          <w:rFonts w:hint="eastAsia" w:ascii="宋体" w:cs="宋体"/>
          <w:color w:val="auto"/>
          <w:szCs w:val="21"/>
          <w:highlight w:val="none"/>
        </w:rPr>
        <w:t>。</w:t>
      </w:r>
    </w:p>
    <w:p w14:paraId="3E1B10DB">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6.1.5 文明施工</w:t>
      </w:r>
    </w:p>
    <w:p w14:paraId="25ED4CD4">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合同当事人对文明施工的要求：</w:t>
      </w:r>
      <w:r>
        <w:rPr>
          <w:rFonts w:hint="eastAsia" w:ascii="宋体" w:cs="宋体"/>
          <w:color w:val="auto"/>
          <w:szCs w:val="21"/>
          <w:highlight w:val="none"/>
          <w:u w:val="single"/>
        </w:rPr>
        <w:t xml:space="preserve">   执行招标文件   </w:t>
      </w:r>
      <w:r>
        <w:rPr>
          <w:rFonts w:hint="eastAsia" w:ascii="宋体" w:cs="宋体"/>
          <w:color w:val="auto"/>
          <w:szCs w:val="21"/>
          <w:highlight w:val="none"/>
        </w:rPr>
        <w:t>。</w:t>
      </w:r>
    </w:p>
    <w:p w14:paraId="3F40E760">
      <w:pPr>
        <w:pStyle w:val="9"/>
        <w:snapToGrid w:val="0"/>
        <w:spacing w:line="440" w:lineRule="exact"/>
        <w:ind w:firstLine="420" w:firstLineChars="200"/>
        <w:rPr>
          <w:rFonts w:ascii="宋体" w:eastAsia="宋体" w:cs="宋体"/>
          <w:b w:val="0"/>
          <w:color w:val="auto"/>
          <w:sz w:val="21"/>
          <w:szCs w:val="21"/>
          <w:highlight w:val="none"/>
        </w:rPr>
      </w:pPr>
      <w:r>
        <w:rPr>
          <w:rFonts w:hint="eastAsia" w:ascii="宋体" w:eastAsia="宋体" w:cs="宋体"/>
          <w:b w:val="0"/>
          <w:color w:val="auto"/>
          <w:sz w:val="21"/>
          <w:szCs w:val="21"/>
          <w:highlight w:val="none"/>
        </w:rPr>
        <w:t>7. 工期和进度</w:t>
      </w:r>
    </w:p>
    <w:p w14:paraId="4A8AEE49">
      <w:pPr>
        <w:tabs>
          <w:tab w:val="left" w:pos="3240"/>
        </w:tabs>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7.1 施工组织设计</w:t>
      </w:r>
      <w:r>
        <w:rPr>
          <w:rFonts w:hint="eastAsia" w:ascii="宋体" w:cs="宋体"/>
          <w:color w:val="auto"/>
          <w:szCs w:val="21"/>
          <w:highlight w:val="none"/>
        </w:rPr>
        <w:tab/>
      </w:r>
    </w:p>
    <w:p w14:paraId="0784B604">
      <w:pPr>
        <w:autoSpaceDE w:val="0"/>
        <w:autoSpaceDN w:val="0"/>
        <w:adjustRightInd w:val="0"/>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7.1.1 （9）合</w:t>
      </w:r>
      <w:r>
        <w:rPr>
          <w:rFonts w:hint="eastAsia" w:ascii="宋体" w:cs="宋体"/>
          <w:color w:val="auto"/>
          <w:kern w:val="0"/>
          <w:szCs w:val="21"/>
          <w:highlight w:val="none"/>
        </w:rPr>
        <w:t>同当事人约定的施工组织设计应包括的其他内容：</w:t>
      </w:r>
      <w:r>
        <w:rPr>
          <w:rFonts w:hint="eastAsia" w:ascii="宋体" w:cs="宋体"/>
          <w:color w:val="auto"/>
          <w:szCs w:val="21"/>
          <w:highlight w:val="none"/>
          <w:u w:val="single"/>
        </w:rPr>
        <w:t xml:space="preserve">  本工程需按照总进度计划编制每月施工进度计划，经监理、发包人审批后作为进度考核和进度款支付的依据  </w:t>
      </w:r>
      <w:r>
        <w:rPr>
          <w:rFonts w:hint="eastAsia" w:ascii="宋体" w:cs="宋体"/>
          <w:color w:val="auto"/>
          <w:szCs w:val="21"/>
          <w:highlight w:val="none"/>
        </w:rPr>
        <w:t>。</w:t>
      </w:r>
    </w:p>
    <w:p w14:paraId="4899B3B9">
      <w:pPr>
        <w:autoSpaceDE w:val="0"/>
        <w:autoSpaceDN w:val="0"/>
        <w:adjustRightInd w:val="0"/>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szCs w:val="21"/>
          <w:highlight w:val="none"/>
        </w:rPr>
        <w:t xml:space="preserve">7.1.2 </w:t>
      </w:r>
      <w:r>
        <w:rPr>
          <w:rFonts w:hint="eastAsia" w:ascii="宋体" w:cs="宋体"/>
          <w:color w:val="auto"/>
          <w:kern w:val="0"/>
          <w:szCs w:val="21"/>
          <w:highlight w:val="none"/>
        </w:rPr>
        <w:t>施工组织设计的提交和修改</w:t>
      </w:r>
    </w:p>
    <w:p w14:paraId="672AEE17">
      <w:pPr>
        <w:autoSpaceDE w:val="0"/>
        <w:autoSpaceDN w:val="0"/>
        <w:adjustRightInd w:val="0"/>
        <w:snapToGrid w:val="0"/>
        <w:spacing w:line="440" w:lineRule="exact"/>
        <w:ind w:firstLine="420" w:firstLineChars="200"/>
        <w:jc w:val="left"/>
        <w:rPr>
          <w:rFonts w:ascii="宋体" w:cs="宋体"/>
          <w:color w:val="auto"/>
          <w:szCs w:val="21"/>
          <w:highlight w:val="none"/>
        </w:rPr>
      </w:pPr>
      <w:r>
        <w:rPr>
          <w:rFonts w:hint="eastAsia" w:ascii="宋体" w:cs="宋体"/>
          <w:color w:val="auto"/>
          <w:kern w:val="0"/>
          <w:szCs w:val="21"/>
          <w:highlight w:val="none"/>
        </w:rPr>
        <w:t>承包人提交详细施工组织设计的期限的约定：</w:t>
      </w:r>
      <w:r>
        <w:rPr>
          <w:rFonts w:hint="eastAsia" w:ascii="宋体" w:cs="宋体"/>
          <w:color w:val="auto"/>
          <w:szCs w:val="21"/>
          <w:highlight w:val="none"/>
          <w:u w:val="single"/>
        </w:rPr>
        <w:t xml:space="preserve">图纸会审及设计交底后一周内提供标后实施性施工组织设计 </w:t>
      </w:r>
      <w:r>
        <w:rPr>
          <w:rFonts w:hint="eastAsia" w:ascii="宋体" w:cs="宋体"/>
          <w:color w:val="auto"/>
          <w:szCs w:val="21"/>
          <w:highlight w:val="none"/>
        </w:rPr>
        <w:t>。</w:t>
      </w:r>
    </w:p>
    <w:p w14:paraId="40076F0A">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发包人和发包人在收到详细的施工组织设计后确认或提出修改意见的期限：</w:t>
      </w:r>
      <w:r>
        <w:rPr>
          <w:rFonts w:hint="eastAsia" w:ascii="宋体" w:cs="宋体"/>
          <w:color w:val="auto"/>
          <w:szCs w:val="21"/>
          <w:highlight w:val="none"/>
          <w:u w:val="single"/>
        </w:rPr>
        <w:t>发包人和发包人应在发包人收到施工组织设计后7天内确认或提出修改意见。对发包人和发包人提出的合理意见和要求，承包人应自费修改完善。根据工程实际情况需要修改施工组织设计的，承包人应向发包人和发包人提交修改后的施工组织设计。</w:t>
      </w:r>
    </w:p>
    <w:p w14:paraId="081034A6">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7.2 施工进度计划</w:t>
      </w:r>
    </w:p>
    <w:p w14:paraId="7E2A52F0">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7.2.2 施工进度计划的修订</w:t>
      </w:r>
    </w:p>
    <w:p w14:paraId="3F765149">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发包人在收到修订的施工进度计划后确认或提出修改意见的期限：</w:t>
      </w:r>
      <w:r>
        <w:rPr>
          <w:rFonts w:hint="eastAsia" w:ascii="宋体" w:cs="宋体"/>
          <w:color w:val="auto"/>
          <w:szCs w:val="21"/>
          <w:highlight w:val="none"/>
          <w:u w:val="single"/>
        </w:rPr>
        <w:t>确定施工计划后除发包人要求，不得更改。</w:t>
      </w:r>
    </w:p>
    <w:p w14:paraId="1E286BA6">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7.3 开工</w:t>
      </w:r>
    </w:p>
    <w:p w14:paraId="344345B2">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7.3.1 开工准备</w:t>
      </w:r>
    </w:p>
    <w:p w14:paraId="31FCEF1E">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关于承包人提交</w:t>
      </w:r>
      <w:r>
        <w:rPr>
          <w:rFonts w:hint="eastAsia" w:ascii="宋体" w:cs="宋体"/>
          <w:color w:val="auto"/>
          <w:kern w:val="0"/>
          <w:szCs w:val="21"/>
          <w:highlight w:val="none"/>
        </w:rPr>
        <w:t>工程开工报审表的期限：</w:t>
      </w:r>
      <w:r>
        <w:rPr>
          <w:rFonts w:hint="eastAsia" w:ascii="宋体" w:cs="宋体"/>
          <w:color w:val="auto"/>
          <w:szCs w:val="21"/>
          <w:highlight w:val="none"/>
          <w:u w:val="single"/>
        </w:rPr>
        <w:t xml:space="preserve"> 承包人应按照第7.1款〔施工组织设计〕约定的期限，向发包人提交工程开工报审表，经发包人报发包人批准后执行。开工报审表应详细说明按施工进度计划正常施工所需的施工道路、临时设施、材料、工程设备、施工设备、施工人员等落实情况以及工程的进度安排。</w:t>
      </w:r>
    </w:p>
    <w:p w14:paraId="18600087">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关于承包人应完成的其他开工准备工作及期限：</w:t>
      </w:r>
      <w:r>
        <w:rPr>
          <w:rFonts w:hint="eastAsia" w:ascii="宋体" w:cs="宋体"/>
          <w:color w:val="auto"/>
          <w:szCs w:val="21"/>
          <w:highlight w:val="none"/>
          <w:u w:val="single"/>
        </w:rPr>
        <w:t>合同当事人应按约定完成开工准备工作。</w:t>
      </w:r>
    </w:p>
    <w:p w14:paraId="43CAF9A6">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7.3.2开工通知</w:t>
      </w:r>
    </w:p>
    <w:p w14:paraId="373B278E">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由发包人发出。</w:t>
      </w:r>
    </w:p>
    <w:p w14:paraId="774F60E8">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7.4 测量放线（本项目不采用）</w:t>
      </w:r>
    </w:p>
    <w:p w14:paraId="52EBCD7A">
      <w:pPr>
        <w:snapToGrid w:val="0"/>
        <w:spacing w:line="440" w:lineRule="exact"/>
        <w:ind w:firstLine="420" w:firstLineChars="200"/>
        <w:jc w:val="left"/>
        <w:rPr>
          <w:rFonts w:hint="eastAsia" w:ascii="宋体" w:hAnsi="宋体" w:cs="宋体"/>
          <w:color w:val="auto"/>
          <w:highlight w:val="none"/>
        </w:rPr>
      </w:pPr>
      <w:r>
        <w:rPr>
          <w:rFonts w:hint="eastAsia" w:ascii="宋体" w:cs="宋体"/>
          <w:color w:val="auto"/>
          <w:szCs w:val="21"/>
          <w:highlight w:val="none"/>
        </w:rPr>
        <w:t>7.4.1发包人通过发包人向承包人提供测量基准点、基准线和水准点及其书面资料的期限：</w:t>
      </w:r>
      <w:r>
        <w:rPr>
          <w:rFonts w:hint="eastAsia" w:ascii="宋体" w:cs="宋体"/>
          <w:color w:val="auto"/>
          <w:szCs w:val="21"/>
          <w:highlight w:val="none"/>
          <w:u w:val="single"/>
        </w:rPr>
        <w:t xml:space="preserve"> </w:t>
      </w:r>
      <w:r>
        <w:rPr>
          <w:rFonts w:hint="eastAsia" w:ascii="宋体" w:hAnsi="宋体" w:cs="宋体"/>
          <w:color w:val="auto"/>
          <w:highlight w:val="none"/>
          <w:u w:val="single"/>
        </w:rPr>
        <w:t>/</w:t>
      </w:r>
    </w:p>
    <w:p w14:paraId="7D0CBED4">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7.5 工期延误</w:t>
      </w:r>
    </w:p>
    <w:p w14:paraId="0E5F44A5">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7.5.1 因发包人原因导致工期延误</w:t>
      </w:r>
    </w:p>
    <w:p w14:paraId="148C1F11">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（7）因发包人原因导致工期延误的其他情形：</w:t>
      </w:r>
      <w:r>
        <w:rPr>
          <w:rFonts w:hint="eastAsia" w:ascii="宋体" w:cs="宋体"/>
          <w:color w:val="auto"/>
          <w:szCs w:val="21"/>
          <w:highlight w:val="none"/>
          <w:u w:val="single"/>
        </w:rPr>
        <w:t xml:space="preserve"> 无 。</w:t>
      </w:r>
      <w:r>
        <w:rPr>
          <w:rFonts w:hint="eastAsia" w:ascii="宋体" w:cs="宋体"/>
          <w:color w:val="auto"/>
          <w:szCs w:val="21"/>
          <w:highlight w:val="none"/>
        </w:rPr>
        <w:t xml:space="preserve">        </w:t>
      </w:r>
    </w:p>
    <w:p w14:paraId="1B054F73">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7.5.2 因承包人原因导致工期延误</w:t>
      </w:r>
    </w:p>
    <w:p w14:paraId="08A4B456">
      <w:pPr>
        <w:pStyle w:val="2"/>
        <w:spacing w:line="440" w:lineRule="exact"/>
        <w:ind w:left="0" w:leftChars="0" w:firstLine="420"/>
        <w:rPr>
          <w:color w:val="auto"/>
          <w:highlight w:val="none"/>
        </w:rPr>
      </w:pPr>
      <w:r>
        <w:rPr>
          <w:rFonts w:hint="eastAsia"/>
          <w:color w:val="auto"/>
          <w:highlight w:val="none"/>
        </w:rPr>
        <w:t>因承包人原因造成工期延误，逾期竣工违约金的计算方法为：</w:t>
      </w:r>
      <w:r>
        <w:rPr>
          <w:rFonts w:hint="eastAsia"/>
          <w:color w:val="auto"/>
          <w:highlight w:val="none"/>
          <w:u w:val="single"/>
        </w:rPr>
        <w:t xml:space="preserve">  因承包人原因造成合同工期延误，每延误一天，处以</w:t>
      </w:r>
      <w:r>
        <w:rPr>
          <w:rFonts w:hint="eastAsia"/>
          <w:color w:val="auto"/>
          <w:highlight w:val="none"/>
          <w:u w:val="single"/>
          <w:lang w:val="en-US" w:eastAsia="zh-CN"/>
        </w:rPr>
        <w:t>3</w:t>
      </w:r>
      <w:r>
        <w:rPr>
          <w:rFonts w:hint="eastAsia"/>
          <w:color w:val="auto"/>
          <w:highlight w:val="none"/>
          <w:u w:val="single"/>
        </w:rPr>
        <w:t>000元违约金；月工程量未完成的当期不得请款，当月未完成的工程量纳入下月一并完成，完不成的仍不予请款，依此类推。连续两个月工程量未完成的立即限制承包人一年内不得参与发包人项目投标。</w:t>
      </w:r>
    </w:p>
    <w:p w14:paraId="77403F08">
      <w:pPr>
        <w:pStyle w:val="2"/>
        <w:spacing w:line="440" w:lineRule="exact"/>
        <w:ind w:left="0" w:leftChars="0" w:firstLine="420"/>
        <w:rPr>
          <w:color w:val="auto"/>
          <w:highlight w:val="none"/>
        </w:rPr>
      </w:pPr>
      <w:r>
        <w:rPr>
          <w:rFonts w:hint="eastAsia"/>
          <w:color w:val="auto"/>
          <w:highlight w:val="none"/>
        </w:rPr>
        <w:t>因承包人原因造成工期延误，逾期竣工违约金的上限：</w:t>
      </w:r>
      <w:r>
        <w:rPr>
          <w:rFonts w:hint="eastAsia"/>
          <w:color w:val="auto"/>
          <w:highlight w:val="none"/>
          <w:u w:val="single"/>
        </w:rPr>
        <w:t xml:space="preserve"> 全额履约保证金 </w:t>
      </w:r>
      <w:r>
        <w:rPr>
          <w:rFonts w:hint="eastAsia"/>
          <w:color w:val="auto"/>
          <w:highlight w:val="none"/>
        </w:rPr>
        <w:t>。</w:t>
      </w:r>
    </w:p>
    <w:p w14:paraId="2AB8E9C7">
      <w:pPr>
        <w:pStyle w:val="2"/>
        <w:spacing w:line="440" w:lineRule="exact"/>
        <w:ind w:left="0" w:leftChars="0" w:firstLine="420"/>
        <w:rPr>
          <w:rFonts w:cs="宋体"/>
          <w:color w:val="auto"/>
          <w:szCs w:val="21"/>
          <w:highlight w:val="none"/>
        </w:rPr>
      </w:pPr>
      <w:r>
        <w:rPr>
          <w:rFonts w:hint="eastAsia" w:cs="宋体"/>
          <w:bCs/>
          <w:color w:val="auto"/>
          <w:szCs w:val="21"/>
          <w:highlight w:val="none"/>
        </w:rPr>
        <w:t>业主单位根据拖延工期的严重程度采用以下方法处理:</w:t>
      </w:r>
    </w:p>
    <w:p w14:paraId="3FEA4EE6">
      <w:pPr>
        <w:widowControl/>
        <w:snapToGrid w:val="0"/>
        <w:spacing w:line="440" w:lineRule="exact"/>
        <w:ind w:firstLine="420" w:firstLineChars="200"/>
        <w:rPr>
          <w:rFonts w:ascii="宋体" w:cs="宋体"/>
          <w:bCs/>
          <w:color w:val="auto"/>
          <w:szCs w:val="21"/>
          <w:highlight w:val="none"/>
          <w:u w:val="single"/>
        </w:rPr>
      </w:pPr>
      <w:r>
        <w:rPr>
          <w:rFonts w:hint="eastAsia" w:ascii="宋体" w:cs="宋体"/>
          <w:color w:val="auto"/>
          <w:szCs w:val="21"/>
          <w:highlight w:val="none"/>
          <w:u w:val="single"/>
        </w:rPr>
        <w:t>（1）</w:t>
      </w:r>
      <w:r>
        <w:rPr>
          <w:rFonts w:hint="eastAsia" w:ascii="宋体" w:cs="宋体"/>
          <w:bCs/>
          <w:color w:val="auto"/>
          <w:szCs w:val="21"/>
          <w:highlight w:val="none"/>
          <w:u w:val="single"/>
        </w:rPr>
        <w:t>督促承包人采取有效的赶工措施（费用自理）；</w:t>
      </w:r>
    </w:p>
    <w:p w14:paraId="2149621B">
      <w:pPr>
        <w:widowControl/>
        <w:snapToGrid w:val="0"/>
        <w:spacing w:line="440" w:lineRule="exact"/>
        <w:ind w:firstLine="420" w:firstLineChars="200"/>
        <w:rPr>
          <w:rFonts w:ascii="宋体" w:cs="宋体"/>
          <w:bCs/>
          <w:color w:val="auto"/>
          <w:szCs w:val="21"/>
          <w:highlight w:val="none"/>
          <w:u w:val="single"/>
        </w:rPr>
      </w:pPr>
      <w:r>
        <w:rPr>
          <w:rFonts w:hint="eastAsia" w:ascii="宋体" w:cs="宋体"/>
          <w:bCs/>
          <w:color w:val="auto"/>
          <w:szCs w:val="21"/>
          <w:highlight w:val="none"/>
          <w:u w:val="single"/>
        </w:rPr>
        <w:t>（2）发包人根据本项目总体施工计划对工程各分部分项工程的进度目标确定之后，承包人应采取各种措施确保本合同内各分部分项工程进度目标的实现，如果在工程实施某个分部分项工程，承包人的实际进度滞后该分部分项工程进度目标7天以上，并无法确保该分部分项工程进度目标的完成或承包人虽采取了一些措施，但仍无法按交工期交工时，监理工程师应立即通知发包人，并抄送承包人。发包人向承包人发出书面警告通知3天后，发包人有权终止合同，也可将本合同工程中的一部分或剩余工作交由其他承包人或指定分包人完成，因此所增加的一切费用由原承包人承担。</w:t>
      </w:r>
    </w:p>
    <w:p w14:paraId="03F79AD5">
      <w:pPr>
        <w:widowControl/>
        <w:snapToGrid w:val="0"/>
        <w:spacing w:line="440" w:lineRule="exact"/>
        <w:ind w:firstLine="420" w:firstLineChars="200"/>
        <w:rPr>
          <w:rFonts w:ascii="宋体" w:cs="宋体"/>
          <w:bCs/>
          <w:color w:val="auto"/>
          <w:szCs w:val="21"/>
          <w:highlight w:val="none"/>
          <w:u w:val="single"/>
        </w:rPr>
      </w:pPr>
      <w:r>
        <w:rPr>
          <w:rFonts w:hint="eastAsia" w:ascii="宋体" w:cs="宋体"/>
          <w:bCs/>
          <w:color w:val="auto"/>
          <w:szCs w:val="21"/>
          <w:highlight w:val="none"/>
          <w:u w:val="single"/>
        </w:rPr>
        <w:t xml:space="preserve">（3）对严重拖延工期，经发包人多次督促，承包人拒不执行的，发包人可中止施工合同，并和承包人进行清算。同时按原中标价格另选同样资质的施工队伍进场施工，原承包人须无条件配合，不得以任何借口阻挠另选的施工队伍施工，不得向发包人提出任何索赔要求，详见补充条款。  </w:t>
      </w:r>
    </w:p>
    <w:p w14:paraId="6068667C">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7.6 不利物质条件</w:t>
      </w:r>
    </w:p>
    <w:p w14:paraId="139C3CFE">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不利物质条件的其他情形和有关约定：</w:t>
      </w:r>
      <w:r>
        <w:rPr>
          <w:rFonts w:hint="eastAsia" w:ascii="宋体" w:cs="宋体"/>
          <w:color w:val="auto"/>
          <w:szCs w:val="21"/>
          <w:highlight w:val="none"/>
          <w:u w:val="single"/>
        </w:rPr>
        <w:t xml:space="preserve"> 无  。</w:t>
      </w:r>
    </w:p>
    <w:p w14:paraId="1E3A5D47">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7.7异常恶劣的气候条件</w:t>
      </w:r>
    </w:p>
    <w:p w14:paraId="5BD69F95">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发包人和承包人同意以下情形视为异常恶劣的气候条件：</w:t>
      </w:r>
    </w:p>
    <w:p w14:paraId="7E780FBE">
      <w:pPr>
        <w:numPr>
          <w:ilvl w:val="0"/>
          <w:numId w:val="6"/>
        </w:numPr>
        <w:snapToGrid w:val="0"/>
        <w:spacing w:line="440" w:lineRule="exact"/>
        <w:ind w:firstLine="420" w:firstLineChars="200"/>
        <w:jc w:val="left"/>
        <w:rPr>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4970C740">
      <w:pPr>
        <w:numPr>
          <w:ilvl w:val="0"/>
          <w:numId w:val="6"/>
        </w:numPr>
        <w:snapToGrid w:val="0"/>
        <w:spacing w:line="440" w:lineRule="exact"/>
        <w:ind w:firstLine="420" w:firstLineChars="200"/>
        <w:jc w:val="left"/>
        <w:rPr>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7B875DEA">
      <w:pPr>
        <w:numPr>
          <w:ilvl w:val="0"/>
          <w:numId w:val="6"/>
        </w:numPr>
        <w:snapToGrid w:val="0"/>
        <w:spacing w:line="440" w:lineRule="exact"/>
        <w:ind w:firstLine="420" w:firstLineChars="200"/>
        <w:jc w:val="left"/>
        <w:rPr>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6038405F">
      <w:pPr>
        <w:snapToGrid w:val="0"/>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7.9 提前竣工的奖励</w:t>
      </w:r>
    </w:p>
    <w:p w14:paraId="18AE07E1">
      <w:pPr>
        <w:pStyle w:val="2"/>
        <w:spacing w:line="440" w:lineRule="exact"/>
        <w:ind w:left="0" w:leftChars="0" w:firstLine="420"/>
        <w:rPr>
          <w:color w:val="auto"/>
          <w:highlight w:val="none"/>
        </w:rPr>
      </w:pPr>
      <w:r>
        <w:rPr>
          <w:rFonts w:hint="eastAsia"/>
          <w:color w:val="auto"/>
          <w:highlight w:val="none"/>
        </w:rPr>
        <w:t>7.9.2提前竣工的奖励：</w:t>
      </w:r>
      <w:r>
        <w:rPr>
          <w:rFonts w:hint="eastAsia"/>
          <w:color w:val="auto"/>
          <w:highlight w:val="none"/>
          <w:u w:val="single"/>
        </w:rPr>
        <w:t xml:space="preserve"> 无 </w:t>
      </w:r>
      <w:r>
        <w:rPr>
          <w:rFonts w:hint="eastAsia"/>
          <w:color w:val="auto"/>
          <w:highlight w:val="none"/>
        </w:rPr>
        <w:t>。</w:t>
      </w:r>
    </w:p>
    <w:p w14:paraId="56B9FCCC">
      <w:pPr>
        <w:pStyle w:val="9"/>
        <w:snapToGrid w:val="0"/>
        <w:spacing w:line="440" w:lineRule="exact"/>
        <w:ind w:firstLine="420" w:firstLineChars="200"/>
        <w:rPr>
          <w:rFonts w:ascii="宋体" w:eastAsia="宋体" w:cs="宋体"/>
          <w:b w:val="0"/>
          <w:color w:val="auto"/>
          <w:sz w:val="21"/>
          <w:szCs w:val="21"/>
          <w:highlight w:val="none"/>
        </w:rPr>
      </w:pPr>
      <w:r>
        <w:rPr>
          <w:rFonts w:hint="eastAsia" w:ascii="宋体" w:eastAsia="宋体" w:cs="宋体"/>
          <w:b w:val="0"/>
          <w:color w:val="auto"/>
          <w:sz w:val="21"/>
          <w:szCs w:val="21"/>
          <w:highlight w:val="none"/>
        </w:rPr>
        <w:t>8. 材料与设备</w:t>
      </w:r>
    </w:p>
    <w:p w14:paraId="0E9A8084">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8.4材料与工程设备的保管与使用</w:t>
      </w:r>
    </w:p>
    <w:p w14:paraId="43547210">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8.4.1发包人供应的材料设备的保管费用的承担：</w:t>
      </w:r>
      <w:r>
        <w:rPr>
          <w:rFonts w:hint="eastAsia" w:ascii="宋体" w:cs="宋体"/>
          <w:color w:val="auto"/>
          <w:szCs w:val="21"/>
          <w:highlight w:val="none"/>
          <w:u w:val="single"/>
        </w:rPr>
        <w:t>/</w:t>
      </w:r>
      <w:r>
        <w:rPr>
          <w:rFonts w:hint="eastAsia" w:ascii="宋体" w:cs="宋体"/>
          <w:color w:val="auto"/>
          <w:szCs w:val="21"/>
          <w:highlight w:val="none"/>
        </w:rPr>
        <w:t>。</w:t>
      </w:r>
    </w:p>
    <w:p w14:paraId="17F17F2A">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8.6 样品</w:t>
      </w:r>
    </w:p>
    <w:p w14:paraId="43487B5C">
      <w:pPr>
        <w:autoSpaceDE w:val="0"/>
        <w:autoSpaceDN w:val="0"/>
        <w:adjustRightInd w:val="0"/>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8.6.1样品的报送与封存</w:t>
      </w:r>
    </w:p>
    <w:p w14:paraId="63C2C8C8">
      <w:pPr>
        <w:snapToGrid w:val="0"/>
        <w:spacing w:line="440" w:lineRule="exact"/>
        <w:ind w:firstLine="420" w:firstLineChars="200"/>
        <w:rPr>
          <w:rFonts w:ascii="宋体" w:cs="宋体"/>
          <w:color w:val="auto"/>
          <w:szCs w:val="21"/>
          <w:highlight w:val="none"/>
          <w:u w:val="single"/>
        </w:rPr>
      </w:pPr>
      <w:r>
        <w:rPr>
          <w:rFonts w:hint="eastAsia" w:ascii="宋体" w:cs="宋体"/>
          <w:color w:val="auto"/>
          <w:szCs w:val="21"/>
          <w:highlight w:val="none"/>
        </w:rPr>
        <w:t>需要承包人报送样品的材料或工程设备，样品的种类、名称、规格、数量要求：</w:t>
      </w:r>
      <w:r>
        <w:rPr>
          <w:rFonts w:hint="eastAsia" w:ascii="宋体" w:cs="宋体"/>
          <w:color w:val="auto"/>
          <w:szCs w:val="21"/>
          <w:highlight w:val="none"/>
          <w:u w:val="single"/>
        </w:rPr>
        <w:t xml:space="preserve"> 执行招标文件。 </w:t>
      </w:r>
    </w:p>
    <w:p w14:paraId="24C420FD">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8.8 施工设备和临时设施</w:t>
      </w:r>
    </w:p>
    <w:p w14:paraId="285C01AC">
      <w:pPr>
        <w:autoSpaceDE w:val="0"/>
        <w:autoSpaceDN w:val="0"/>
        <w:adjustRightInd w:val="0"/>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8.8.1 承包人提供的施工设备和临时设施</w:t>
      </w:r>
    </w:p>
    <w:p w14:paraId="246980E7">
      <w:pPr>
        <w:autoSpaceDE w:val="0"/>
        <w:autoSpaceDN w:val="0"/>
        <w:adjustRightInd w:val="0"/>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关于修建临时设施费用承担的约定：</w:t>
      </w:r>
      <w:r>
        <w:rPr>
          <w:rFonts w:hint="eastAsia" w:ascii="宋体" w:cs="宋体"/>
          <w:color w:val="auto"/>
          <w:szCs w:val="21"/>
          <w:highlight w:val="none"/>
          <w:u w:val="single"/>
        </w:rPr>
        <w:t xml:space="preserve">  由承包人自行承担费用   </w:t>
      </w:r>
      <w:r>
        <w:rPr>
          <w:rFonts w:hint="eastAsia" w:ascii="宋体" w:cs="宋体"/>
          <w:color w:val="auto"/>
          <w:szCs w:val="21"/>
          <w:highlight w:val="none"/>
        </w:rPr>
        <w:t>。</w:t>
      </w:r>
    </w:p>
    <w:p w14:paraId="1C835B34">
      <w:pPr>
        <w:pStyle w:val="9"/>
        <w:snapToGrid w:val="0"/>
        <w:spacing w:line="440" w:lineRule="exact"/>
        <w:ind w:firstLine="420" w:firstLineChars="200"/>
        <w:rPr>
          <w:rFonts w:ascii="宋体" w:eastAsia="宋体" w:cs="宋体"/>
          <w:b w:val="0"/>
          <w:color w:val="auto"/>
          <w:sz w:val="21"/>
          <w:szCs w:val="21"/>
          <w:highlight w:val="none"/>
        </w:rPr>
      </w:pPr>
      <w:r>
        <w:rPr>
          <w:rFonts w:hint="eastAsia" w:ascii="宋体" w:eastAsia="宋体" w:cs="宋体"/>
          <w:b w:val="0"/>
          <w:color w:val="auto"/>
          <w:sz w:val="21"/>
          <w:szCs w:val="21"/>
          <w:highlight w:val="none"/>
        </w:rPr>
        <w:t>9. 试验与检验</w:t>
      </w:r>
    </w:p>
    <w:p w14:paraId="5E78A991">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9.1试验设备与试验人员</w:t>
      </w:r>
    </w:p>
    <w:p w14:paraId="0F29D2A3">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9.1.2 试验设备</w:t>
      </w:r>
    </w:p>
    <w:p w14:paraId="55E9A22D">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施工现场需要配置的试验场所：</w:t>
      </w:r>
      <w:r>
        <w:rPr>
          <w:rFonts w:hint="eastAsia" w:ascii="宋体" w:cs="宋体"/>
          <w:color w:val="auto"/>
          <w:szCs w:val="21"/>
          <w:highlight w:val="none"/>
          <w:u w:val="single"/>
        </w:rPr>
        <w:t xml:space="preserve">   执行招标文件   </w:t>
      </w:r>
      <w:r>
        <w:rPr>
          <w:rFonts w:hint="eastAsia" w:ascii="宋体" w:cs="宋体"/>
          <w:color w:val="auto"/>
          <w:szCs w:val="21"/>
          <w:highlight w:val="none"/>
        </w:rPr>
        <w:t xml:space="preserve">。 </w:t>
      </w:r>
    </w:p>
    <w:p w14:paraId="22411B49">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施工现场需要配备的试验设备：</w:t>
      </w:r>
      <w:r>
        <w:rPr>
          <w:rFonts w:hint="eastAsia" w:ascii="宋体" w:cs="宋体"/>
          <w:color w:val="auto"/>
          <w:szCs w:val="21"/>
          <w:highlight w:val="none"/>
          <w:u w:val="single"/>
        </w:rPr>
        <w:t xml:space="preserve">   执行招标文件    </w:t>
      </w:r>
      <w:r>
        <w:rPr>
          <w:rFonts w:hint="eastAsia" w:ascii="宋体" w:cs="宋体"/>
          <w:color w:val="auto"/>
          <w:szCs w:val="21"/>
          <w:highlight w:val="none"/>
        </w:rPr>
        <w:t>。</w:t>
      </w:r>
    </w:p>
    <w:p w14:paraId="1A027B9B">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施工现场需要具备的其他试验条件：</w:t>
      </w:r>
      <w:r>
        <w:rPr>
          <w:rFonts w:hint="eastAsia" w:ascii="宋体" w:cs="宋体"/>
          <w:color w:val="auto"/>
          <w:szCs w:val="21"/>
          <w:highlight w:val="none"/>
          <w:u w:val="single"/>
        </w:rPr>
        <w:t xml:space="preserve">   执行招标文件   </w:t>
      </w:r>
      <w:r>
        <w:rPr>
          <w:rFonts w:hint="eastAsia" w:ascii="宋体" w:cs="宋体"/>
          <w:color w:val="auto"/>
          <w:szCs w:val="21"/>
          <w:highlight w:val="none"/>
        </w:rPr>
        <w:t>。</w:t>
      </w:r>
    </w:p>
    <w:p w14:paraId="6ABFF4E4">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 xml:space="preserve">9.4 现场工艺试验 </w:t>
      </w:r>
    </w:p>
    <w:p w14:paraId="78E679CE">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现场工艺试验的有关约定：</w:t>
      </w:r>
      <w:r>
        <w:rPr>
          <w:rFonts w:hint="eastAsia" w:ascii="宋体" w:cs="宋体"/>
          <w:color w:val="auto"/>
          <w:szCs w:val="21"/>
          <w:highlight w:val="none"/>
          <w:u w:val="single"/>
        </w:rPr>
        <w:t xml:space="preserve">   按发包人指示    </w:t>
      </w:r>
      <w:r>
        <w:rPr>
          <w:rFonts w:hint="eastAsia" w:ascii="宋体" w:cs="宋体"/>
          <w:color w:val="auto"/>
          <w:szCs w:val="21"/>
          <w:highlight w:val="none"/>
        </w:rPr>
        <w:t>。</w:t>
      </w:r>
    </w:p>
    <w:p w14:paraId="53FC5091">
      <w:pPr>
        <w:pStyle w:val="9"/>
        <w:snapToGrid w:val="0"/>
        <w:spacing w:line="440" w:lineRule="exac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 变更</w:t>
      </w:r>
    </w:p>
    <w:p w14:paraId="34D4FA05">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10.1变更的范围</w:t>
      </w:r>
    </w:p>
    <w:p w14:paraId="36A625F4">
      <w:pPr>
        <w:snapToGri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关于变更范围的约定：</w:t>
      </w:r>
      <w:r>
        <w:rPr>
          <w:rFonts w:hint="eastAsia" w:ascii="宋体" w:hAnsi="宋体" w:cs="宋体"/>
          <w:b/>
          <w:color w:val="auto"/>
          <w:szCs w:val="21"/>
          <w:highlight w:val="none"/>
          <w:u w:val="single"/>
        </w:rPr>
        <w:t>执行合同通用条款</w:t>
      </w:r>
      <w:r>
        <w:rPr>
          <w:rFonts w:hint="eastAsia" w:ascii="宋体" w:hAnsi="宋体" w:cs="宋体"/>
          <w:b/>
          <w:bCs/>
          <w:color w:val="auto"/>
          <w:szCs w:val="21"/>
          <w:highlight w:val="none"/>
          <w:u w:val="single"/>
        </w:rPr>
        <w:t>。</w:t>
      </w:r>
    </w:p>
    <w:p w14:paraId="54162CF5">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10.4 变更估价</w:t>
      </w:r>
    </w:p>
    <w:p w14:paraId="1D964B01">
      <w:pPr>
        <w:snapToGri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10.4.1变更估价原则</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关于变更估价的约定:</w:t>
      </w:r>
    </w:p>
    <w:p w14:paraId="579CC9C6">
      <w:pPr>
        <w:pStyle w:val="2"/>
        <w:spacing w:line="440" w:lineRule="exact"/>
        <w:ind w:left="0" w:leftChars="0" w:firstLine="422"/>
        <w:rPr>
          <w:rFonts w:hint="eastAsia" w:hAnsi="宋体" w:cs="宋体"/>
          <w:b/>
          <w:color w:val="auto"/>
          <w:highlight w:val="none"/>
          <w:u w:val="single"/>
        </w:rPr>
      </w:pPr>
      <w:r>
        <w:rPr>
          <w:rFonts w:hint="eastAsia" w:hAnsi="宋体" w:cs="宋体"/>
          <w:b/>
          <w:bCs/>
          <w:color w:val="auto"/>
          <w:szCs w:val="21"/>
          <w:highlight w:val="none"/>
          <w:u w:val="single"/>
        </w:rPr>
        <w:t>变更导致结算工程量（含1.13清单工程量错误产生的工程量）减少0-100%或增加15%以内部分，执行下列第（1）款或第（2）款确定的单价；但超出15%以外部分，结算单价按第（1）款或第（2）款对应的最高限价单价×响应让利幅度计算，组价明显错误的予以纠正；</w:t>
      </w:r>
      <w:r>
        <w:rPr>
          <w:rFonts w:hAnsi="宋体" w:cs="宋体"/>
          <w:b/>
          <w:bCs/>
          <w:color w:val="auto"/>
          <w:szCs w:val="21"/>
          <w:highlight w:val="none"/>
          <w:u w:val="single"/>
        </w:rPr>
        <w:t>已标价工程量清单或预算书中无相同项目及类似项目单价的</w:t>
      </w:r>
      <w:r>
        <w:rPr>
          <w:rFonts w:hint="eastAsia" w:hAnsi="宋体" w:cs="宋体"/>
          <w:b/>
          <w:bCs/>
          <w:color w:val="auto"/>
          <w:szCs w:val="21"/>
          <w:highlight w:val="none"/>
          <w:u w:val="single"/>
        </w:rPr>
        <w:t>新增项目单价按照最高限价的编制原则重新组价×响应让利幅度（上述响应让利幅度为中标价/最高限价，其中中标价和最高限价均扣除暂列金额、暂估价及相应税金），结算价格最终以相关部门审核价为准；</w:t>
      </w:r>
    </w:p>
    <w:p w14:paraId="72F90ACD">
      <w:pPr>
        <w:pStyle w:val="2"/>
        <w:spacing w:line="440" w:lineRule="exact"/>
        <w:ind w:left="0" w:leftChars="0" w:firstLine="422"/>
        <w:rPr>
          <w:rFonts w:hint="eastAsia" w:hAnsi="宋体" w:cs="宋体"/>
          <w:b/>
          <w:bCs/>
          <w:color w:val="auto"/>
          <w:szCs w:val="21"/>
          <w:highlight w:val="none"/>
          <w:u w:val="single"/>
        </w:rPr>
      </w:pPr>
      <w:r>
        <w:rPr>
          <w:rFonts w:hint="eastAsia" w:hAnsi="宋体" w:cs="宋体"/>
          <w:b/>
          <w:bCs/>
          <w:color w:val="auto"/>
          <w:szCs w:val="21"/>
          <w:highlight w:val="none"/>
          <w:u w:val="single"/>
        </w:rPr>
        <w:t>（1）已标价工程量清单或预算书有相同项目的，按照相同项目单价认定；</w:t>
      </w:r>
    </w:p>
    <w:p w14:paraId="522EF34B">
      <w:pPr>
        <w:pStyle w:val="2"/>
        <w:spacing w:line="440" w:lineRule="exact"/>
        <w:ind w:left="0" w:leftChars="0" w:firstLine="422"/>
        <w:rPr>
          <w:rFonts w:hint="eastAsia" w:hAnsi="宋体" w:cs="宋体"/>
          <w:b/>
          <w:bCs/>
          <w:color w:val="auto"/>
          <w:szCs w:val="21"/>
          <w:highlight w:val="none"/>
          <w:u w:val="single"/>
        </w:rPr>
      </w:pPr>
      <w:r>
        <w:rPr>
          <w:rFonts w:hint="eastAsia" w:hAnsi="宋体" w:cs="宋体"/>
          <w:b/>
          <w:bCs/>
          <w:color w:val="auto"/>
          <w:szCs w:val="21"/>
          <w:highlight w:val="none"/>
          <w:u w:val="single"/>
        </w:rPr>
        <w:t>（2）已标价工程量清单或预算书中无相同项目，但有类似项目的，参照类似项目的单价认定。</w:t>
      </w:r>
    </w:p>
    <w:p w14:paraId="529FEE43">
      <w:pPr>
        <w:snapToGrid w:val="0"/>
        <w:spacing w:line="44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技术措施费调整：</w:t>
      </w:r>
      <w:r>
        <w:rPr>
          <w:rFonts w:hint="eastAsia" w:ascii="宋体" w:hAnsi="宋体" w:cs="宋体"/>
          <w:b/>
          <w:color w:val="auto"/>
          <w:szCs w:val="21"/>
          <w:highlight w:val="none"/>
          <w:u w:val="single"/>
        </w:rPr>
        <w:t xml:space="preserve"> 因承包人改变施工技术措施，造成的价格变动，措施费不予调整。因工程变更必须改变原来施工技术措施，造成价格变动的，按实调整，变更组价原则同上。</w:t>
      </w:r>
    </w:p>
    <w:p w14:paraId="256FD0FB">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组织措施费调整：</w:t>
      </w:r>
      <w:r>
        <w:rPr>
          <w:rFonts w:hint="eastAsia" w:ascii="宋体" w:hAnsi="宋体" w:cs="宋体"/>
          <w:b/>
          <w:color w:val="auto"/>
          <w:szCs w:val="21"/>
          <w:highlight w:val="none"/>
          <w:u w:val="single"/>
        </w:rPr>
        <w:t xml:space="preserve"> 按实调整。</w:t>
      </w:r>
    </w:p>
    <w:p w14:paraId="1F826365">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10.5承包人的合理化建议</w:t>
      </w:r>
    </w:p>
    <w:p w14:paraId="6ABFD850">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发包人审查承包人合理化建议的期限：</w:t>
      </w:r>
      <w:r>
        <w:rPr>
          <w:rFonts w:hint="eastAsia" w:ascii="宋体" w:cs="宋体"/>
          <w:color w:val="auto"/>
          <w:szCs w:val="21"/>
          <w:highlight w:val="none"/>
          <w:u w:val="single"/>
        </w:rPr>
        <w:t xml:space="preserve"> 发包人应在收到承包人提交的合理化建议后7天内审查完毕并报送发包人，发现其中存在技术上的缺陷，应通知承包人修改。</w:t>
      </w:r>
    </w:p>
    <w:p w14:paraId="409AD26A">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发包人审批承包人合理化建议的期限：</w:t>
      </w:r>
      <w:r>
        <w:rPr>
          <w:rFonts w:hint="eastAsia" w:ascii="宋体" w:cs="宋体"/>
          <w:color w:val="auto"/>
          <w:szCs w:val="21"/>
          <w:highlight w:val="none"/>
          <w:u w:val="single"/>
        </w:rPr>
        <w:t xml:space="preserve"> 发包人应在收到发包人报送的合理化建议后7天内审批完毕。合理化建议经发包人批准的，发包人应及时发出变更指示，由此引起的合同价格调整按照第10.4款〔变更估价〕约定执行。发包人不同意变更的，发包人应书面通知承包人。</w:t>
      </w:r>
    </w:p>
    <w:p w14:paraId="74FEA225">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承包人提出的合理化建议降低了合同价格或者提高了工程经济效益的奖励的方法和金额为：无</w:t>
      </w:r>
      <w:r>
        <w:rPr>
          <w:rFonts w:hint="eastAsia"/>
          <w:color w:val="auto"/>
          <w:highlight w:val="none"/>
        </w:rPr>
        <w:t>。</w:t>
      </w:r>
    </w:p>
    <w:p w14:paraId="715E83AB">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10.7 暂估价</w:t>
      </w:r>
    </w:p>
    <w:p w14:paraId="198718CA">
      <w:pPr>
        <w:snapToGrid w:val="0"/>
        <w:spacing w:line="440" w:lineRule="exact"/>
        <w:ind w:firstLine="420" w:firstLineChars="200"/>
        <w:jc w:val="left"/>
        <w:rPr>
          <w:rFonts w:ascii="宋体" w:cs="宋体"/>
          <w:color w:val="auto"/>
          <w:szCs w:val="21"/>
          <w:highlight w:val="none"/>
        </w:rPr>
      </w:pPr>
      <w:r>
        <w:rPr>
          <w:rFonts w:hint="eastAsia" w:ascii="宋体" w:cs="宋体"/>
          <w:color w:val="auto"/>
          <w:kern w:val="0"/>
          <w:szCs w:val="21"/>
          <w:highlight w:val="none"/>
        </w:rPr>
        <w:t>暂估价材料和工程设备的明细</w:t>
      </w:r>
      <w:r>
        <w:rPr>
          <w:rFonts w:hint="eastAsia" w:ascii="宋体" w:cs="宋体"/>
          <w:color w:val="auto"/>
          <w:kern w:val="0"/>
          <w:szCs w:val="21"/>
          <w:highlight w:val="none"/>
          <w:u w:val="single"/>
        </w:rPr>
        <w:t>详见《暂估价一览表》。</w:t>
      </w:r>
    </w:p>
    <w:p w14:paraId="53BE9095">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10.7.1 依法必须招标的暂估价项目</w:t>
      </w:r>
    </w:p>
    <w:p w14:paraId="77FE09D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对于依法必须招标的暂估价项目的确认和批准采取第</w:t>
      </w:r>
      <w:r>
        <w:rPr>
          <w:rFonts w:hint="eastAsia" w:ascii="宋体" w:hAnsi="宋体" w:cs="宋体"/>
          <w:color w:val="auto"/>
          <w:highlight w:val="none"/>
          <w:u w:val="single"/>
        </w:rPr>
        <w:t xml:space="preserve"> / </w:t>
      </w:r>
      <w:r>
        <w:rPr>
          <w:rFonts w:hint="eastAsia" w:ascii="宋体" w:hAnsi="宋体" w:cs="宋体"/>
          <w:color w:val="auto"/>
          <w:highlight w:val="none"/>
        </w:rPr>
        <w:t>种方式确定。</w:t>
      </w:r>
      <w:r>
        <w:rPr>
          <w:rFonts w:hint="eastAsia" w:ascii="宋体" w:hAnsi="宋体" w:cs="宋体"/>
          <w:b/>
          <w:color w:val="auto"/>
          <w:highlight w:val="none"/>
          <w:u w:val="single"/>
        </w:rPr>
        <w:t xml:space="preserve">并应按相关规定进行二次招标  </w:t>
      </w:r>
      <w:r>
        <w:rPr>
          <w:rFonts w:hint="eastAsia" w:ascii="宋体" w:hAnsi="宋体" w:cs="宋体"/>
          <w:color w:val="auto"/>
          <w:highlight w:val="none"/>
        </w:rPr>
        <w:t>。</w:t>
      </w:r>
    </w:p>
    <w:p w14:paraId="539D7A97">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10.7.2 不属于依法必须招标的暂估价项目</w:t>
      </w:r>
    </w:p>
    <w:p w14:paraId="138D1F94">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u w:val="single"/>
        </w:rPr>
        <w:t>对于不属于依法必须招标的暂估价项目的确认和批准采取询价或共同交易方式确定。</w:t>
      </w:r>
    </w:p>
    <w:p w14:paraId="4CC2D72D">
      <w:pPr>
        <w:pStyle w:val="2"/>
        <w:spacing w:line="440" w:lineRule="exact"/>
        <w:ind w:left="0" w:leftChars="0" w:firstLine="420"/>
        <w:rPr>
          <w:color w:val="auto"/>
          <w:highlight w:val="none"/>
        </w:rPr>
      </w:pPr>
      <w:r>
        <w:rPr>
          <w:rFonts w:hint="eastAsia"/>
          <w:color w:val="auto"/>
          <w:highlight w:val="none"/>
        </w:rPr>
        <w:t>第3种方式：承包人直接实施的暂估价项目</w:t>
      </w:r>
    </w:p>
    <w:p w14:paraId="7CB11F47">
      <w:pPr>
        <w:pStyle w:val="2"/>
        <w:spacing w:line="440" w:lineRule="exact"/>
        <w:ind w:left="0" w:leftChars="0" w:firstLine="420"/>
        <w:rPr>
          <w:color w:val="auto"/>
          <w:highlight w:val="none"/>
        </w:rPr>
      </w:pPr>
      <w:r>
        <w:rPr>
          <w:rFonts w:hint="eastAsia"/>
          <w:color w:val="auto"/>
          <w:highlight w:val="none"/>
        </w:rPr>
        <w:t>承包人直接实施的暂估价项目的约定：</w:t>
      </w:r>
      <w:r>
        <w:rPr>
          <w:rFonts w:hint="eastAsia"/>
          <w:color w:val="auto"/>
          <w:highlight w:val="none"/>
          <w:u w:val="single"/>
        </w:rPr>
        <w:t xml:space="preserve">   无    。</w:t>
      </w:r>
    </w:p>
    <w:p w14:paraId="5C9B1074">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10.8 暂列金额</w:t>
      </w:r>
    </w:p>
    <w:p w14:paraId="01EC1C6D">
      <w:pPr>
        <w:autoSpaceDE w:val="0"/>
        <w:autoSpaceDN w:val="0"/>
        <w:adjustRightInd w:val="0"/>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kern w:val="0"/>
          <w:szCs w:val="21"/>
          <w:highlight w:val="none"/>
        </w:rPr>
        <w:t>合同当事人关于暂列金额使用的约定：</w:t>
      </w:r>
      <w:r>
        <w:rPr>
          <w:rFonts w:hint="eastAsia" w:ascii="宋体" w:cs="宋体"/>
          <w:color w:val="auto"/>
          <w:szCs w:val="21"/>
          <w:highlight w:val="none"/>
          <w:u w:val="single"/>
        </w:rPr>
        <w:t xml:space="preserve"> 暂列金额应按照发包人的要求使用。</w:t>
      </w:r>
    </w:p>
    <w:p w14:paraId="113EBD2B">
      <w:pPr>
        <w:pStyle w:val="9"/>
        <w:snapToGrid w:val="0"/>
        <w:spacing w:line="440" w:lineRule="exact"/>
        <w:ind w:firstLine="420" w:firstLineChars="200"/>
        <w:rPr>
          <w:rFonts w:ascii="宋体" w:eastAsia="宋体" w:cs="宋体"/>
          <w:b w:val="0"/>
          <w:color w:val="auto"/>
          <w:sz w:val="21"/>
          <w:szCs w:val="21"/>
          <w:highlight w:val="none"/>
        </w:rPr>
      </w:pPr>
      <w:r>
        <w:rPr>
          <w:rFonts w:hint="eastAsia" w:ascii="宋体" w:eastAsia="宋体" w:cs="宋体"/>
          <w:b w:val="0"/>
          <w:color w:val="auto"/>
          <w:sz w:val="21"/>
          <w:szCs w:val="21"/>
          <w:highlight w:val="none"/>
        </w:rPr>
        <w:t>11. 价格调整</w:t>
      </w:r>
    </w:p>
    <w:p w14:paraId="603D3423">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11.1 市场价格波动引起的调整</w:t>
      </w:r>
    </w:p>
    <w:p w14:paraId="6CCCB771">
      <w:pPr>
        <w:snapToGrid w:val="0"/>
        <w:spacing w:line="440" w:lineRule="exact"/>
        <w:ind w:firstLine="420" w:firstLineChars="200"/>
        <w:jc w:val="left"/>
        <w:rPr>
          <w:rFonts w:ascii="宋体" w:cs="宋体"/>
          <w:color w:val="auto"/>
          <w:szCs w:val="21"/>
          <w:highlight w:val="none"/>
        </w:rPr>
      </w:pPr>
      <w:r>
        <w:rPr>
          <w:rFonts w:hint="eastAsia" w:ascii="宋体" w:cs="宋体"/>
          <w:color w:val="auto"/>
          <w:kern w:val="0"/>
          <w:szCs w:val="21"/>
          <w:highlight w:val="none"/>
        </w:rPr>
        <w:t>市场价格波动是否调整合同价格的约定：</w:t>
      </w:r>
      <w:r>
        <w:rPr>
          <w:rFonts w:hint="eastAsia" w:ascii="宋体" w:cs="宋体"/>
          <w:color w:val="auto"/>
          <w:szCs w:val="21"/>
          <w:highlight w:val="none"/>
          <w:u w:val="single"/>
        </w:rPr>
        <w:t xml:space="preserve"> 不调整   </w:t>
      </w:r>
      <w:r>
        <w:rPr>
          <w:rFonts w:hint="eastAsia" w:ascii="宋体" w:cs="宋体"/>
          <w:color w:val="auto"/>
          <w:szCs w:val="21"/>
          <w:highlight w:val="none"/>
        </w:rPr>
        <w:t>。</w:t>
      </w:r>
    </w:p>
    <w:p w14:paraId="363B5553">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因市场价格波动调整合同价格，采用以下第</w:t>
      </w:r>
      <w:r>
        <w:rPr>
          <w:rFonts w:hint="eastAsia" w:ascii="宋体" w:cs="宋体"/>
          <w:color w:val="auto"/>
          <w:szCs w:val="21"/>
          <w:highlight w:val="none"/>
          <w:u w:val="single"/>
        </w:rPr>
        <w:t xml:space="preserve">  3  </w:t>
      </w:r>
      <w:r>
        <w:rPr>
          <w:rFonts w:hint="eastAsia" w:ascii="宋体" w:cs="宋体"/>
          <w:color w:val="auto"/>
          <w:szCs w:val="21"/>
          <w:highlight w:val="none"/>
        </w:rPr>
        <w:t>种方式对合同价格进行调整：</w:t>
      </w:r>
    </w:p>
    <w:p w14:paraId="595728BB">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第2种方式：采用造价信息进行价格调整。</w:t>
      </w:r>
    </w:p>
    <w:p w14:paraId="454B18C9">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第3种方式：其他价格调整方式：</w:t>
      </w:r>
      <w:r>
        <w:rPr>
          <w:rFonts w:hint="eastAsia" w:ascii="宋体" w:cs="宋体"/>
          <w:color w:val="auto"/>
          <w:szCs w:val="21"/>
          <w:highlight w:val="none"/>
          <w:u w:val="single"/>
        </w:rPr>
        <w:t>不调整</w:t>
      </w:r>
    </w:p>
    <w:p w14:paraId="2BD90888">
      <w:pPr>
        <w:pStyle w:val="9"/>
        <w:snapToGrid w:val="0"/>
        <w:spacing w:line="440" w:lineRule="exact"/>
        <w:ind w:firstLine="420" w:firstLineChars="200"/>
        <w:rPr>
          <w:rFonts w:ascii="宋体" w:eastAsia="宋体" w:cs="宋体"/>
          <w:b w:val="0"/>
          <w:color w:val="auto"/>
          <w:sz w:val="21"/>
          <w:szCs w:val="21"/>
          <w:highlight w:val="none"/>
        </w:rPr>
      </w:pPr>
      <w:r>
        <w:rPr>
          <w:rFonts w:hint="eastAsia" w:ascii="宋体" w:eastAsia="宋体" w:cs="宋体"/>
          <w:b w:val="0"/>
          <w:color w:val="auto"/>
          <w:sz w:val="21"/>
          <w:szCs w:val="21"/>
          <w:highlight w:val="none"/>
        </w:rPr>
        <w:t>12. 合同价格、计量与支付</w:t>
      </w:r>
    </w:p>
    <w:p w14:paraId="78D867A2">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12.1 合同价格形式</w:t>
      </w:r>
    </w:p>
    <w:p w14:paraId="311EA13E">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1、单价合同。</w:t>
      </w:r>
    </w:p>
    <w:p w14:paraId="45CFB1FF">
      <w:pPr>
        <w:snapToGrid w:val="0"/>
        <w:spacing w:line="440" w:lineRule="exact"/>
        <w:ind w:firstLine="420" w:firstLineChars="200"/>
        <w:jc w:val="left"/>
        <w:rPr>
          <w:rFonts w:ascii="宋体" w:cs="宋体"/>
          <w:b/>
          <w:color w:val="auto"/>
          <w:szCs w:val="21"/>
          <w:highlight w:val="none"/>
          <w:u w:val="single"/>
        </w:rPr>
      </w:pPr>
      <w:r>
        <w:rPr>
          <w:rFonts w:hint="eastAsia" w:ascii="宋体" w:cs="宋体"/>
          <w:color w:val="auto"/>
          <w:szCs w:val="21"/>
          <w:highlight w:val="none"/>
        </w:rPr>
        <w:t>综合单价包含的风险范围：</w:t>
      </w:r>
      <w:r>
        <w:rPr>
          <w:rFonts w:hint="eastAsia" w:ascii="黑体" w:eastAsia="黑体" w:cs="宋体"/>
          <w:b/>
          <w:color w:val="auto"/>
          <w:szCs w:val="21"/>
          <w:highlight w:val="none"/>
          <w:u w:val="single"/>
        </w:rPr>
        <w:t>各种因素引起的不属于本合同调价范围的市场材料价格、人工、机械使用费以及管理费、利润的变化等</w:t>
      </w:r>
      <w:r>
        <w:rPr>
          <w:rFonts w:hint="eastAsia" w:ascii="宋体" w:cs="宋体"/>
          <w:b/>
          <w:color w:val="auto"/>
          <w:szCs w:val="21"/>
          <w:highlight w:val="none"/>
          <w:u w:val="single"/>
        </w:rPr>
        <w:t>。</w:t>
      </w:r>
    </w:p>
    <w:p w14:paraId="4E5F2ADA">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风险费用的计算方法：</w:t>
      </w:r>
      <w:r>
        <w:rPr>
          <w:rFonts w:hint="eastAsia" w:ascii="宋体" w:cs="宋体"/>
          <w:color w:val="auto"/>
          <w:szCs w:val="21"/>
          <w:highlight w:val="none"/>
          <w:u w:val="single"/>
        </w:rPr>
        <w:t xml:space="preserve"> 不考虑  </w:t>
      </w:r>
    </w:p>
    <w:p w14:paraId="68349CB2">
      <w:pPr>
        <w:snapToGrid w:val="0"/>
        <w:spacing w:line="440" w:lineRule="exact"/>
        <w:ind w:firstLine="420" w:firstLineChars="200"/>
        <w:jc w:val="left"/>
        <w:rPr>
          <w:rFonts w:hint="eastAsia" w:ascii="宋体" w:hAnsi="宋体" w:cs="宋体"/>
          <w:bCs/>
          <w:color w:val="auto"/>
          <w:szCs w:val="21"/>
          <w:highlight w:val="none"/>
          <w:u w:val="single"/>
        </w:rPr>
      </w:pPr>
      <w:r>
        <w:rPr>
          <w:rFonts w:hint="eastAsia"/>
          <w:color w:val="auto"/>
          <w:highlight w:val="none"/>
        </w:rPr>
        <w:t>风险范围以外合同价格的调整方法：</w:t>
      </w:r>
      <w:r>
        <w:rPr>
          <w:rFonts w:hint="eastAsia" w:ascii="宋体" w:hAnsi="宋体" w:cs="宋体"/>
          <w:bCs/>
          <w:color w:val="auto"/>
          <w:szCs w:val="21"/>
          <w:highlight w:val="none"/>
          <w:u w:val="single"/>
        </w:rPr>
        <w:t xml:space="preserve">结算价=合同价±工程变更造价±分部分项工程量清单工程量误差造价±材料价格调整造价±政策性调整造价±人工价格调整造价±措施项目调整造价－暂列金额×1.09± 合理工程索赔。 </w:t>
      </w:r>
    </w:p>
    <w:p w14:paraId="2978BE77">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12.2 预付款</w:t>
      </w:r>
    </w:p>
    <w:p w14:paraId="7EB8177A">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12.2.1 预付款的支付</w:t>
      </w:r>
    </w:p>
    <w:p w14:paraId="081C73DF">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预付款支付比例或金额：</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14:paraId="38C35BA0">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预付款支付期限：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21F2CF9A">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预付款扣回的方式：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466AF8F4">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12.2.2 预付款担保</w:t>
      </w:r>
    </w:p>
    <w:p w14:paraId="3900B471">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承包人提交预付款担保的期限：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70525D2A">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预付款担保的形式为：</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0D066E83">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12.3 计量</w:t>
      </w:r>
    </w:p>
    <w:p w14:paraId="7E34CD0C">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12.3.1 计量原则</w:t>
      </w:r>
    </w:p>
    <w:p w14:paraId="64B07C00">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工程量计算规则：</w:t>
      </w:r>
      <w:r>
        <w:rPr>
          <w:rFonts w:hint="eastAsia" w:ascii="宋体" w:cs="宋体"/>
          <w:color w:val="auto"/>
          <w:szCs w:val="21"/>
          <w:highlight w:val="none"/>
          <w:u w:val="single"/>
        </w:rPr>
        <w:t>执行现行建设工程工程量清单计价规范（GB50500）、安徽省建设工程计价依据。</w:t>
      </w:r>
    </w:p>
    <w:p w14:paraId="393FBA53">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12.3.2 计量周期</w:t>
      </w:r>
    </w:p>
    <w:p w14:paraId="53B1D812">
      <w:pPr>
        <w:spacing w:line="440" w:lineRule="exact"/>
        <w:ind w:firstLine="420" w:firstLineChars="200"/>
        <w:rPr>
          <w:rFonts w:ascii="宋体" w:cs="宋体"/>
          <w:color w:val="auto"/>
          <w:szCs w:val="21"/>
          <w:highlight w:val="none"/>
        </w:rPr>
      </w:pPr>
      <w:r>
        <w:rPr>
          <w:rFonts w:hint="eastAsia" w:ascii="宋体" w:cs="宋体"/>
          <w:color w:val="auto"/>
          <w:szCs w:val="21"/>
          <w:highlight w:val="none"/>
        </w:rPr>
        <w:t>关于计量周期的约定：</w:t>
      </w:r>
      <w:r>
        <w:rPr>
          <w:rFonts w:hint="eastAsia" w:ascii="宋体" w:cs="宋体"/>
          <w:color w:val="auto"/>
          <w:szCs w:val="21"/>
          <w:highlight w:val="none"/>
          <w:u w:val="single"/>
        </w:rPr>
        <w:t xml:space="preserve">   按月计量   </w:t>
      </w:r>
      <w:r>
        <w:rPr>
          <w:rFonts w:hint="eastAsia" w:ascii="宋体" w:cs="宋体"/>
          <w:color w:val="auto"/>
          <w:szCs w:val="21"/>
          <w:highlight w:val="none"/>
        </w:rPr>
        <w:t>。</w:t>
      </w:r>
    </w:p>
    <w:p w14:paraId="48E33EBC">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12.3.3 单价合同的计量</w:t>
      </w:r>
    </w:p>
    <w:p w14:paraId="1063DDF2">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关于单价合同计量的约定：</w:t>
      </w:r>
      <w:r>
        <w:rPr>
          <w:rFonts w:hint="eastAsia" w:ascii="宋体" w:cs="宋体"/>
          <w:color w:val="auto"/>
          <w:szCs w:val="21"/>
          <w:highlight w:val="none"/>
          <w:u w:val="single"/>
        </w:rPr>
        <w:t>按进度计量</w:t>
      </w:r>
    </w:p>
    <w:p w14:paraId="70ECF2B0">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12.3.4 总价合同的计量</w:t>
      </w:r>
    </w:p>
    <w:p w14:paraId="5B693EE5">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关于总价合同计量的约定：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6B7D76AD">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12.3.5总价合同采用支付分解表计量支付的，是否适用第</w:t>
      </w:r>
      <w:r>
        <w:rPr>
          <w:rFonts w:hint="eastAsia" w:ascii="宋体" w:cs="宋体"/>
          <w:color w:val="auto"/>
          <w:kern w:val="0"/>
          <w:szCs w:val="21"/>
          <w:highlight w:val="none"/>
        </w:rPr>
        <w:t xml:space="preserve">12.3.4 </w:t>
      </w:r>
      <w:r>
        <w:rPr>
          <w:rFonts w:hint="eastAsia" w:ascii="宋体" w:cs="宋体"/>
          <w:color w:val="auto"/>
          <w:szCs w:val="21"/>
          <w:highlight w:val="none"/>
        </w:rPr>
        <w:t>项</w:t>
      </w:r>
      <w:r>
        <w:rPr>
          <w:rFonts w:hint="eastAsia" w:ascii="宋体" w:cs="宋体"/>
          <w:color w:val="auto"/>
          <w:kern w:val="0"/>
          <w:szCs w:val="21"/>
          <w:highlight w:val="none"/>
        </w:rPr>
        <w:t>〔总价合同的计量〕</w:t>
      </w:r>
      <w:r>
        <w:rPr>
          <w:rFonts w:hint="eastAsia" w:ascii="宋体" w:cs="宋体"/>
          <w:color w:val="auto"/>
          <w:szCs w:val="21"/>
          <w:highlight w:val="none"/>
        </w:rPr>
        <w:t>约定进行计量：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0205013C">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12.3.6 其他价格形式合同的计量</w:t>
      </w:r>
    </w:p>
    <w:p w14:paraId="2E67708B">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其他价格形式的计量方式和程序：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5B579681">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12.4 工程进度款支付</w:t>
      </w:r>
    </w:p>
    <w:p w14:paraId="3098F160">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12.4.1 付款周期</w:t>
      </w:r>
    </w:p>
    <w:p w14:paraId="00A6A204">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关于付款周期的约定：</w:t>
      </w:r>
      <w:r>
        <w:rPr>
          <w:rFonts w:hint="eastAsia" w:ascii="宋体" w:cs="宋体"/>
          <w:color w:val="auto"/>
          <w:szCs w:val="21"/>
          <w:highlight w:val="none"/>
          <w:u w:val="single"/>
        </w:rPr>
        <w:t xml:space="preserve">  </w:t>
      </w:r>
      <w:r>
        <w:rPr>
          <w:rFonts w:hint="eastAsia" w:ascii="宋体" w:hAnsi="宋体" w:cs="宋体"/>
          <w:color w:val="auto"/>
          <w:szCs w:val="21"/>
          <w:highlight w:val="none"/>
          <w:u w:val="single"/>
        </w:rPr>
        <w:t>当月完成进度计划的合格分部分项工程按85%付进度款，竣工验收合格并结算审计完成后付至结算总造价的98%，剩余2%作为工程质量保证金，工程缺陷责任期（缺陷责任期一年，从验收合格之日起计算）满回访合格后一个月内付清。质量保证金支持保函（银行保函、担保机构担保、保证保险）使用。采用保函的不再从工程进度款中扣留质量保证金，保函有效期须与工程缺陷责任期截止时间保持一致</w:t>
      </w:r>
      <w:r>
        <w:rPr>
          <w:rFonts w:hint="eastAsia" w:ascii="宋体" w:cs="宋体"/>
          <w:color w:val="auto"/>
          <w:szCs w:val="21"/>
          <w:highlight w:val="none"/>
        </w:rPr>
        <w:t>。</w:t>
      </w:r>
    </w:p>
    <w:p w14:paraId="0CE6754B">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12.4.2 进度付款申请单的编制</w:t>
      </w:r>
    </w:p>
    <w:p w14:paraId="05EA3EEB">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关于进度付款申请单编制的约定：</w:t>
      </w:r>
      <w:r>
        <w:rPr>
          <w:rFonts w:hint="eastAsia" w:ascii="宋体" w:cs="宋体"/>
          <w:color w:val="auto"/>
          <w:szCs w:val="21"/>
          <w:highlight w:val="none"/>
          <w:u w:val="single"/>
        </w:rPr>
        <w:t>执行发包人统一内容格式。</w:t>
      </w:r>
    </w:p>
    <w:p w14:paraId="7983A354">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12.4.3 进度付款申请单的提交</w:t>
      </w:r>
    </w:p>
    <w:p w14:paraId="240FA7E7">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（1）单价合同进度付款申请单提交的约定：</w:t>
      </w:r>
      <w:r>
        <w:rPr>
          <w:rFonts w:hint="eastAsia" w:ascii="宋体" w:cs="宋体"/>
          <w:color w:val="auto"/>
          <w:szCs w:val="21"/>
          <w:highlight w:val="none"/>
          <w:u w:val="single"/>
        </w:rPr>
        <w:t xml:space="preserve"> </w:t>
      </w:r>
      <w:r>
        <w:rPr>
          <w:rFonts w:hint="eastAsia" w:ascii="宋体" w:hAnsi="宋体" w:cs="宋体"/>
          <w:color w:val="auto"/>
          <w:szCs w:val="21"/>
          <w:highlight w:val="none"/>
          <w:u w:val="single"/>
        </w:rPr>
        <w:t>无</w:t>
      </w:r>
      <w:r>
        <w:rPr>
          <w:rFonts w:hint="eastAsia" w:ascii="黑体" w:eastAsia="黑体" w:cs="宋体"/>
          <w:b/>
          <w:bCs/>
          <w:color w:val="auto"/>
          <w:szCs w:val="21"/>
          <w:highlight w:val="none"/>
          <w:u w:val="single"/>
        </w:rPr>
        <w:t>。</w:t>
      </w:r>
    </w:p>
    <w:p w14:paraId="6A77BDDE">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（2）总价合同进度付款申请单提交的约定：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02BE26CF">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（3）其他价格形式合同进度付款申请单提交的约定：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624ED882">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12.4.4 进度款审核和支付：发包人审核无误后支付。</w:t>
      </w:r>
    </w:p>
    <w:p w14:paraId="5C6CCAA5">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12.4.6 支付分解表的编制</w:t>
      </w:r>
    </w:p>
    <w:p w14:paraId="51F6A743">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2、总价合同支付分解表的编制与审批：</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522511E1">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3、单价合同的总价项目支付分解表的编制与审批：</w:t>
      </w:r>
      <w:r>
        <w:rPr>
          <w:rFonts w:hint="eastAsia" w:ascii="宋体" w:cs="宋体"/>
          <w:color w:val="auto"/>
          <w:szCs w:val="21"/>
          <w:highlight w:val="none"/>
          <w:u w:val="single"/>
        </w:rPr>
        <w:t>执行发包人统一内容格式。</w:t>
      </w:r>
    </w:p>
    <w:p w14:paraId="290D059C">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12.4.7 农民工工资管理</w:t>
      </w:r>
      <w:r>
        <w:rPr>
          <w:rFonts w:hint="eastAsia" w:ascii="宋体" w:hAnsi="宋体" w:cs="宋体"/>
          <w:b/>
          <w:color w:val="auto"/>
          <w:highlight w:val="none"/>
        </w:rPr>
        <w:t>（</w:t>
      </w:r>
      <w:r>
        <w:rPr>
          <w:rFonts w:hint="eastAsia" w:ascii="宋体" w:hAnsi="宋体" w:cs="宋体"/>
          <w:b/>
          <w:color w:val="auto"/>
          <w:highlight w:val="none"/>
        </w:rPr>
        <w:t>农民工工资保证金支持保函使用</w:t>
      </w:r>
      <w:r>
        <w:rPr>
          <w:rFonts w:hint="eastAsia" w:ascii="宋体" w:hAnsi="宋体" w:cs="宋体"/>
          <w:b/>
          <w:color w:val="auto"/>
          <w:highlight w:val="none"/>
        </w:rPr>
        <w:t>）</w:t>
      </w:r>
    </w:p>
    <w:p w14:paraId="43034874">
      <w:pPr>
        <w:snapToGrid w:val="0"/>
        <w:spacing w:line="44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rPr>
        <w:t>(1)本工程农民工工资实行专用账户管理，承包人设立的专用账户开户行为</w:t>
      </w:r>
      <w:r>
        <w:rPr>
          <w:rFonts w:hint="eastAsia" w:ascii="宋体" w:hAnsi="宋体" w:cs="宋体"/>
          <w:bCs/>
          <w:color w:val="auto"/>
          <w:highlight w:val="none"/>
          <w:u w:val="single"/>
        </w:rPr>
        <w:t xml:space="preserve">：        </w:t>
      </w:r>
      <w:r>
        <w:rPr>
          <w:rFonts w:hint="eastAsia" w:ascii="宋体" w:hAnsi="宋体" w:cs="宋体"/>
          <w:bCs/>
          <w:color w:val="auto"/>
          <w:highlight w:val="none"/>
        </w:rPr>
        <w:t>，账号：</w:t>
      </w:r>
      <w:r>
        <w:rPr>
          <w:rFonts w:hint="eastAsia" w:ascii="宋体" w:hAnsi="宋体" w:cs="宋体"/>
          <w:bCs/>
          <w:color w:val="auto"/>
          <w:highlight w:val="none"/>
          <w:u w:val="single"/>
        </w:rPr>
        <w:t xml:space="preserve">              </w:t>
      </w:r>
      <w:r>
        <w:rPr>
          <w:rFonts w:hint="eastAsia" w:ascii="宋体" w:hAnsi="宋体" w:cs="宋体"/>
          <w:bCs/>
          <w:color w:val="auto"/>
          <w:highlight w:val="none"/>
        </w:rPr>
        <w:t>;</w:t>
      </w:r>
    </w:p>
    <w:p w14:paraId="13852E03">
      <w:pPr>
        <w:snapToGrid w:val="0"/>
        <w:spacing w:line="44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rPr>
        <w:t>(2)本工程工资性工程款</w:t>
      </w:r>
      <w:r>
        <w:rPr>
          <w:rFonts w:hint="eastAsia" w:ascii="宋体" w:hAnsi="宋体" w:cs="宋体"/>
          <w:bCs/>
          <w:color w:val="auto"/>
          <w:highlight w:val="none"/>
          <w:u w:val="single"/>
        </w:rPr>
        <w:t xml:space="preserve">         </w:t>
      </w:r>
      <w:r>
        <w:rPr>
          <w:rFonts w:hint="eastAsia" w:ascii="宋体" w:hAnsi="宋体" w:cs="宋体"/>
          <w:bCs/>
          <w:color w:val="auto"/>
          <w:highlight w:val="none"/>
        </w:rPr>
        <w:t>元（相应的最低工资标准乘建筑面积）；其中工资性工程预付款</w:t>
      </w:r>
      <w:r>
        <w:rPr>
          <w:rFonts w:hint="eastAsia" w:ascii="宋体" w:hAnsi="宋体" w:cs="宋体"/>
          <w:bCs/>
          <w:color w:val="auto"/>
          <w:highlight w:val="none"/>
          <w:u w:val="single"/>
        </w:rPr>
        <w:t xml:space="preserve">         </w:t>
      </w:r>
      <w:r>
        <w:rPr>
          <w:rFonts w:hint="eastAsia" w:ascii="宋体" w:hAnsi="宋体" w:cs="宋体"/>
          <w:bCs/>
          <w:color w:val="auto"/>
          <w:highlight w:val="none"/>
        </w:rPr>
        <w:t>元。(工资性工程款除月工期)</w:t>
      </w:r>
    </w:p>
    <w:p w14:paraId="51874546">
      <w:pPr>
        <w:snapToGrid w:val="0"/>
        <w:spacing w:line="44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rPr>
        <w:t>(3)发包人在监理人签发开工报告前，将工资性工程预付款转入承包人开立的农民工工资专用账户。工程开工后第一个月支付工资性工程进度款起，分</w:t>
      </w:r>
      <w:r>
        <w:rPr>
          <w:rFonts w:hint="eastAsia" w:ascii="宋体" w:hAnsi="宋体" w:cs="宋体"/>
          <w:bCs/>
          <w:color w:val="auto"/>
          <w:highlight w:val="none"/>
          <w:u w:val="single"/>
        </w:rPr>
        <w:t xml:space="preserve">     </w:t>
      </w:r>
      <w:r>
        <w:rPr>
          <w:rFonts w:hint="eastAsia" w:ascii="宋体" w:hAnsi="宋体" w:cs="宋体"/>
          <w:bCs/>
          <w:color w:val="auto"/>
          <w:highlight w:val="none"/>
        </w:rPr>
        <w:t>月扣回工资性工程预付款。</w:t>
      </w:r>
    </w:p>
    <w:p w14:paraId="522DADE7">
      <w:pPr>
        <w:snapToGrid w:val="0"/>
        <w:spacing w:line="44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rPr>
        <w:t>(4)发包人于每月25日前将工资性工程进度款转入农民工工资专用账户。</w:t>
      </w:r>
    </w:p>
    <w:p w14:paraId="409D3961">
      <w:pPr>
        <w:snapToGrid w:val="0"/>
        <w:spacing w:line="44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rPr>
        <w:t>(5)承包人每月25日前上报本工程农民工工资清单，每月10日前委托开设农民工工资专用账户的银行支付农民工工资。</w:t>
      </w:r>
    </w:p>
    <w:p w14:paraId="69D1F2B3">
      <w:pPr>
        <w:snapToGrid w:val="0"/>
        <w:spacing w:line="44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rPr>
        <w:t>(6)工程竣工后，经项目部农民工维权组确认无农民工工资拖欠后，发、承双方办理农民工工资专用账户撤销手续，农民工工资专用账户余额划至本合同约定的承包人账户。</w:t>
      </w:r>
    </w:p>
    <w:p w14:paraId="06F92F67">
      <w:pPr>
        <w:pStyle w:val="9"/>
        <w:snapToGrid w:val="0"/>
        <w:spacing w:line="440" w:lineRule="exact"/>
        <w:ind w:firstLine="420" w:firstLineChars="200"/>
        <w:rPr>
          <w:rFonts w:ascii="宋体" w:eastAsia="宋体" w:cs="宋体"/>
          <w:b w:val="0"/>
          <w:color w:val="auto"/>
          <w:sz w:val="21"/>
          <w:szCs w:val="21"/>
          <w:highlight w:val="none"/>
        </w:rPr>
      </w:pPr>
      <w:r>
        <w:rPr>
          <w:rFonts w:hint="eastAsia" w:ascii="宋体" w:eastAsia="宋体" w:cs="宋体"/>
          <w:b w:val="0"/>
          <w:color w:val="auto"/>
          <w:sz w:val="21"/>
          <w:szCs w:val="21"/>
          <w:highlight w:val="none"/>
        </w:rPr>
        <w:t>13. 验收和工程试车</w:t>
      </w:r>
    </w:p>
    <w:p w14:paraId="16DD9F3E">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13.1 分部分项工程验收</w:t>
      </w:r>
    </w:p>
    <w:p w14:paraId="1B9B21A1">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13.1.2发包人不能按时进行验收时，应提前</w:t>
      </w:r>
      <w:r>
        <w:rPr>
          <w:rFonts w:hint="eastAsia" w:ascii="宋体" w:cs="宋体"/>
          <w:color w:val="auto"/>
          <w:szCs w:val="21"/>
          <w:highlight w:val="none"/>
          <w:u w:val="single"/>
        </w:rPr>
        <w:t xml:space="preserve">  3  </w:t>
      </w:r>
      <w:r>
        <w:rPr>
          <w:rFonts w:hint="eastAsia" w:ascii="宋体" w:cs="宋体"/>
          <w:color w:val="auto"/>
          <w:szCs w:val="21"/>
          <w:highlight w:val="none"/>
        </w:rPr>
        <w:t>小时提交书面延期要求。</w:t>
      </w:r>
    </w:p>
    <w:p w14:paraId="1EE604CD">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关于延期最长不得超过：</w:t>
      </w:r>
      <w:r>
        <w:rPr>
          <w:rFonts w:hint="eastAsia" w:ascii="宋体" w:cs="宋体"/>
          <w:color w:val="auto"/>
          <w:szCs w:val="21"/>
          <w:highlight w:val="none"/>
          <w:u w:val="single"/>
        </w:rPr>
        <w:t xml:space="preserve"> 6  </w:t>
      </w:r>
      <w:r>
        <w:rPr>
          <w:rFonts w:hint="eastAsia" w:ascii="宋体" w:cs="宋体"/>
          <w:color w:val="auto"/>
          <w:szCs w:val="21"/>
          <w:highlight w:val="none"/>
        </w:rPr>
        <w:t>小时。</w:t>
      </w:r>
    </w:p>
    <w:p w14:paraId="0F9D07E3">
      <w:pPr>
        <w:wordWrap w:val="0"/>
        <w:snapToGrid w:val="0"/>
        <w:spacing w:line="440" w:lineRule="exact"/>
        <w:ind w:firstLine="420" w:firstLineChars="200"/>
        <w:textAlignment w:val="bottom"/>
        <w:rPr>
          <w:rFonts w:ascii="宋体" w:cs="宋体"/>
          <w:color w:val="auto"/>
          <w:szCs w:val="21"/>
          <w:highlight w:val="none"/>
        </w:rPr>
      </w:pPr>
      <w:r>
        <w:rPr>
          <w:rFonts w:hint="eastAsia" w:ascii="宋体" w:cs="宋体"/>
          <w:color w:val="auto"/>
          <w:szCs w:val="21"/>
          <w:highlight w:val="none"/>
        </w:rPr>
        <w:t>13.2 竣工验收</w:t>
      </w:r>
    </w:p>
    <w:p w14:paraId="27081250">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13.2.2竣工验收程序</w:t>
      </w:r>
    </w:p>
    <w:p w14:paraId="0BC8A652">
      <w:pPr>
        <w:wordWrap w:val="0"/>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关于竣工验收程序的约定：</w:t>
      </w:r>
      <w:r>
        <w:rPr>
          <w:rFonts w:hint="eastAsia" w:ascii="宋体" w:hAnsi="宋体" w:cs="宋体"/>
          <w:color w:val="auto"/>
          <w:szCs w:val="21"/>
          <w:highlight w:val="none"/>
          <w:u w:val="single"/>
        </w:rPr>
        <w:t>执行通用条款</w:t>
      </w:r>
      <w:r>
        <w:rPr>
          <w:rFonts w:ascii="宋体" w:hAnsi="宋体" w:cs="宋体"/>
          <w:color w:val="auto"/>
          <w:szCs w:val="21"/>
          <w:highlight w:val="none"/>
          <w:u w:val="single"/>
        </w:rPr>
        <w:t xml:space="preserve">  </w:t>
      </w:r>
      <w:r>
        <w:rPr>
          <w:rFonts w:hint="eastAsia" w:ascii="宋体" w:cs="宋体"/>
          <w:color w:val="auto"/>
          <w:szCs w:val="21"/>
          <w:highlight w:val="none"/>
          <w:u w:val="single"/>
        </w:rPr>
        <w:t>。</w:t>
      </w:r>
    </w:p>
    <w:p w14:paraId="1C850857">
      <w:pPr>
        <w:wordWrap w:val="0"/>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kern w:val="0"/>
          <w:szCs w:val="21"/>
          <w:highlight w:val="none"/>
        </w:rPr>
        <w:t>发包人不按照本项约定组织竣工验收、颁发工程接收证书的违约金的计算方法：</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14:paraId="1BD93C71">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13.2.5移交、接收全部与部分工程</w:t>
      </w:r>
    </w:p>
    <w:p w14:paraId="24479C1E">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承包人向发包人移交工程的期限：</w:t>
      </w:r>
      <w:r>
        <w:rPr>
          <w:rFonts w:hint="eastAsia" w:ascii="宋体" w:cs="宋体"/>
          <w:color w:val="auto"/>
          <w:szCs w:val="21"/>
          <w:highlight w:val="none"/>
          <w:u w:val="single"/>
        </w:rPr>
        <w:t xml:space="preserve"> 承包人应当无条件配合发包人在30日内将工程移交给发包人。</w:t>
      </w:r>
    </w:p>
    <w:p w14:paraId="2B04DFF1">
      <w:pPr>
        <w:snapToGrid w:val="0"/>
        <w:spacing w:line="440" w:lineRule="exact"/>
        <w:ind w:firstLine="420" w:firstLineChars="200"/>
        <w:jc w:val="left"/>
        <w:rPr>
          <w:rFonts w:ascii="宋体" w:cs="宋体"/>
          <w:color w:val="auto"/>
          <w:szCs w:val="21"/>
          <w:highlight w:val="none"/>
        </w:rPr>
      </w:pPr>
      <w:r>
        <w:rPr>
          <w:rFonts w:hint="eastAsia" w:ascii="宋体" w:cs="宋体"/>
          <w:color w:val="auto"/>
          <w:kern w:val="0"/>
          <w:szCs w:val="21"/>
          <w:highlight w:val="none"/>
        </w:rPr>
        <w:t>发包人未按本合同约定接收全部或部分工程的，违约金的计算方法为：</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14:paraId="023E56DC">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承包人未按时移交工程的，违约金的计算方法为：</w:t>
      </w:r>
      <w:r>
        <w:rPr>
          <w:rFonts w:hint="eastAsia" w:ascii="宋体" w:cs="宋体"/>
          <w:color w:val="auto"/>
          <w:szCs w:val="21"/>
          <w:highlight w:val="none"/>
          <w:u w:val="single"/>
        </w:rPr>
        <w:t xml:space="preserve"> 因承包人原因，未按合同期限按时移交的，暂停工程款支付，发包人可动用质保金，用于工程质量整改 </w:t>
      </w:r>
      <w:r>
        <w:rPr>
          <w:rFonts w:hint="eastAsia" w:ascii="宋体" w:cs="宋体"/>
          <w:color w:val="auto"/>
          <w:szCs w:val="21"/>
          <w:highlight w:val="none"/>
        </w:rPr>
        <w:t>。</w:t>
      </w:r>
    </w:p>
    <w:p w14:paraId="6983366B">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13.3 工程试车</w:t>
      </w:r>
    </w:p>
    <w:p w14:paraId="3451FD78">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13.3.1 试车程序</w:t>
      </w:r>
    </w:p>
    <w:p w14:paraId="30EC8A59">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kern w:val="0"/>
          <w:szCs w:val="21"/>
          <w:highlight w:val="none"/>
        </w:rPr>
        <w:t>工程试车内容：</w:t>
      </w:r>
      <w:r>
        <w:rPr>
          <w:rFonts w:hint="eastAsia" w:ascii="宋体" w:cs="宋体"/>
          <w:color w:val="auto"/>
          <w:szCs w:val="21"/>
          <w:highlight w:val="none"/>
          <w:u w:val="single"/>
        </w:rPr>
        <w:t>/。</w:t>
      </w:r>
    </w:p>
    <w:p w14:paraId="3CFD8BBD">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（1）单机无负荷试车费用由</w:t>
      </w:r>
      <w:r>
        <w:rPr>
          <w:rFonts w:hint="eastAsia" w:ascii="宋体" w:cs="宋体"/>
          <w:color w:val="auto"/>
          <w:szCs w:val="21"/>
          <w:highlight w:val="none"/>
          <w:u w:val="single"/>
        </w:rPr>
        <w:t xml:space="preserve">  承包人  </w:t>
      </w:r>
      <w:r>
        <w:rPr>
          <w:rFonts w:hint="eastAsia" w:ascii="宋体" w:cs="宋体"/>
          <w:color w:val="auto"/>
          <w:kern w:val="0"/>
          <w:szCs w:val="21"/>
          <w:highlight w:val="none"/>
        </w:rPr>
        <w:t>承担；</w:t>
      </w:r>
    </w:p>
    <w:p w14:paraId="190067BC">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（2）无负荷联动试车费用由</w:t>
      </w:r>
      <w:r>
        <w:rPr>
          <w:rFonts w:hint="eastAsia" w:ascii="宋体" w:cs="宋体"/>
          <w:color w:val="auto"/>
          <w:szCs w:val="21"/>
          <w:highlight w:val="none"/>
          <w:u w:val="single"/>
        </w:rPr>
        <w:t xml:space="preserve">  承包人  </w:t>
      </w:r>
      <w:r>
        <w:rPr>
          <w:rFonts w:hint="eastAsia" w:ascii="宋体" w:cs="宋体"/>
          <w:color w:val="auto"/>
          <w:kern w:val="0"/>
          <w:szCs w:val="21"/>
          <w:highlight w:val="none"/>
        </w:rPr>
        <w:t>承担。</w:t>
      </w:r>
    </w:p>
    <w:p w14:paraId="653F1705">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13.3.3 投料试车</w:t>
      </w:r>
    </w:p>
    <w:p w14:paraId="4F318841">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kern w:val="0"/>
          <w:szCs w:val="21"/>
          <w:highlight w:val="none"/>
        </w:rPr>
        <w:t>关于投料试车相关事项的约定：</w:t>
      </w:r>
      <w:r>
        <w:rPr>
          <w:rFonts w:hint="eastAsia" w:ascii="宋体" w:cs="宋体"/>
          <w:color w:val="auto"/>
          <w:kern w:val="0"/>
          <w:szCs w:val="21"/>
          <w:highlight w:val="none"/>
          <w:u w:val="single"/>
        </w:rPr>
        <w:t>如需进行投料试车的，发包人应在工程竣工验收后组织投料试车。发包人要求在工程竣工验收前进行或需要承包人配合时，应征得承包人同意。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381FAEB3">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13.6 竣工退场</w:t>
      </w:r>
    </w:p>
    <w:p w14:paraId="7A090227">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13.6.1 竣工退场</w:t>
      </w:r>
    </w:p>
    <w:p w14:paraId="3EA0BBC5">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承包人完成竣工退场的期限：</w:t>
      </w:r>
      <w:r>
        <w:rPr>
          <w:rFonts w:hint="eastAsia" w:ascii="宋体" w:cs="宋体"/>
          <w:color w:val="auto"/>
          <w:szCs w:val="21"/>
          <w:highlight w:val="none"/>
          <w:u w:val="single"/>
        </w:rPr>
        <w:t>工程竣工合格后，7天内退场。</w:t>
      </w:r>
    </w:p>
    <w:p w14:paraId="52D4A85E">
      <w:pPr>
        <w:pStyle w:val="9"/>
        <w:snapToGrid w:val="0"/>
        <w:spacing w:line="440" w:lineRule="exact"/>
        <w:ind w:firstLine="420" w:firstLineChars="200"/>
        <w:rPr>
          <w:rFonts w:ascii="宋体" w:eastAsia="宋体" w:cs="宋体"/>
          <w:b w:val="0"/>
          <w:color w:val="auto"/>
          <w:sz w:val="21"/>
          <w:szCs w:val="21"/>
          <w:highlight w:val="none"/>
        </w:rPr>
      </w:pPr>
      <w:r>
        <w:rPr>
          <w:rFonts w:hint="eastAsia" w:ascii="宋体" w:eastAsia="宋体" w:cs="宋体"/>
          <w:b w:val="0"/>
          <w:color w:val="auto"/>
          <w:sz w:val="21"/>
          <w:szCs w:val="21"/>
          <w:highlight w:val="none"/>
        </w:rPr>
        <w:t>14. 竣工结算</w:t>
      </w:r>
    </w:p>
    <w:p w14:paraId="159DBF5D">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14.1 竣工付款申请</w:t>
      </w:r>
    </w:p>
    <w:p w14:paraId="0591E711">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承包人提交竣工付款申请单的期限：</w:t>
      </w:r>
      <w:r>
        <w:rPr>
          <w:rFonts w:hint="eastAsia" w:ascii="宋体" w:cs="宋体"/>
          <w:color w:val="auto"/>
          <w:szCs w:val="21"/>
          <w:highlight w:val="none"/>
          <w:u w:val="single"/>
        </w:rPr>
        <w:t>承包人须于竣工验收合格后60日内完成竣工结算报告和完整结算资料上报，特殊情况，经分管领导批准的可以延长。凡因承包人原因，未能在规定时间内上报竣工结算的，处以10000元/月的违约金。情节严重的，项目单位有权按已有资料或按已付款报相关部门办理结算。</w:t>
      </w:r>
    </w:p>
    <w:p w14:paraId="4FACEFAC">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竣工结算申请单应包括的内容：</w:t>
      </w:r>
      <w:r>
        <w:rPr>
          <w:rFonts w:hint="eastAsia" w:ascii="宋体" w:cs="宋体"/>
          <w:color w:val="auto"/>
          <w:szCs w:val="21"/>
          <w:highlight w:val="none"/>
          <w:u w:val="single"/>
        </w:rPr>
        <w:t>执行发包人统一内容格式。</w:t>
      </w:r>
    </w:p>
    <w:p w14:paraId="213AA3C7">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14.2 竣工结算审核</w:t>
      </w:r>
    </w:p>
    <w:p w14:paraId="207E36F6">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发包人审批竣工付款申请单的期限：</w:t>
      </w:r>
      <w:r>
        <w:rPr>
          <w:rFonts w:hint="eastAsia" w:ascii="宋体" w:cs="宋体"/>
          <w:color w:val="auto"/>
          <w:szCs w:val="21"/>
          <w:highlight w:val="none"/>
          <w:u w:val="single"/>
        </w:rPr>
        <w:t>相关部门审核通过后7天内完成审批并签发结算款支付证书</w:t>
      </w:r>
      <w:r>
        <w:rPr>
          <w:rFonts w:hint="eastAsia" w:ascii="宋体" w:cs="宋体"/>
          <w:color w:val="auto"/>
          <w:szCs w:val="21"/>
          <w:highlight w:val="none"/>
        </w:rPr>
        <w:t>。</w:t>
      </w:r>
    </w:p>
    <w:p w14:paraId="0401B654">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发包人完成竣工付款的期限：</w:t>
      </w:r>
      <w:r>
        <w:rPr>
          <w:rFonts w:hint="eastAsia" w:ascii="宋体" w:cs="宋体"/>
          <w:color w:val="auto"/>
          <w:szCs w:val="21"/>
          <w:highlight w:val="none"/>
          <w:u w:val="single"/>
        </w:rPr>
        <w:t xml:space="preserve">发包人在发票送达一周内完成支付 </w:t>
      </w:r>
      <w:r>
        <w:rPr>
          <w:rFonts w:hint="eastAsia" w:ascii="宋体" w:cs="宋体"/>
          <w:color w:val="auto"/>
          <w:szCs w:val="21"/>
          <w:highlight w:val="none"/>
        </w:rPr>
        <w:t>。</w:t>
      </w:r>
    </w:p>
    <w:p w14:paraId="62437268">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关于竣工付款证书异议部分复核的方式和程序：</w:t>
      </w:r>
      <w:r>
        <w:rPr>
          <w:rFonts w:hint="eastAsia" w:ascii="宋体" w:cs="宋体"/>
          <w:color w:val="auto"/>
          <w:szCs w:val="21"/>
          <w:highlight w:val="none"/>
          <w:u w:val="single"/>
        </w:rPr>
        <w:t>按照第20条〔争议解决〕约定处理。</w:t>
      </w:r>
    </w:p>
    <w:p w14:paraId="63411DDD">
      <w:pPr>
        <w:snapToGrid w:val="0"/>
        <w:spacing w:line="44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根据滁规建管办字【2023】3号文件《关于规范建设项目工程造价控制与审核费用的通知》的规定，工程造价审减率超过5%时，施工单位承担审减率超出5%以上的核减额的5%，项目结算付款单位根据审计结果从工程待结价款中扣除或以违约金形式缴纳至招标人处。</w:t>
      </w:r>
    </w:p>
    <w:p w14:paraId="308C0221">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14.4 最终结清</w:t>
      </w:r>
    </w:p>
    <w:p w14:paraId="0202C625">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14.4.1 最终结清申请单</w:t>
      </w:r>
    </w:p>
    <w:p w14:paraId="20B5AF2A">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承包人提交最终结清申请单的份数：</w:t>
      </w:r>
      <w:r>
        <w:rPr>
          <w:rFonts w:hint="eastAsia" w:ascii="宋体" w:cs="宋体"/>
          <w:color w:val="auto"/>
          <w:szCs w:val="21"/>
          <w:highlight w:val="none"/>
          <w:u w:val="single"/>
        </w:rPr>
        <w:t xml:space="preserve"> 4份  </w:t>
      </w:r>
      <w:r>
        <w:rPr>
          <w:rFonts w:hint="eastAsia" w:ascii="宋体" w:cs="宋体"/>
          <w:color w:val="auto"/>
          <w:szCs w:val="21"/>
          <w:highlight w:val="none"/>
        </w:rPr>
        <w:t>。</w:t>
      </w:r>
    </w:p>
    <w:p w14:paraId="58F7FB41">
      <w:pPr>
        <w:snapToGrid w:val="0"/>
        <w:spacing w:line="440" w:lineRule="exact"/>
        <w:ind w:firstLine="420" w:firstLineChars="200"/>
        <w:jc w:val="left"/>
        <w:rPr>
          <w:rFonts w:ascii="宋体" w:cs="宋体"/>
          <w:color w:val="auto"/>
          <w:szCs w:val="21"/>
          <w:highlight w:val="none"/>
        </w:rPr>
      </w:pPr>
      <w:r>
        <w:rPr>
          <w:rFonts w:hint="eastAsia" w:ascii="宋体" w:cs="宋体"/>
          <w:color w:val="auto"/>
          <w:kern w:val="0"/>
          <w:szCs w:val="21"/>
          <w:highlight w:val="none"/>
        </w:rPr>
        <w:t>承包人提交最终结算申请单的期限：</w:t>
      </w:r>
      <w:r>
        <w:rPr>
          <w:rFonts w:hint="eastAsia" w:ascii="宋体" w:cs="宋体"/>
          <w:color w:val="auto"/>
          <w:szCs w:val="21"/>
          <w:highlight w:val="none"/>
          <w:u w:val="single"/>
        </w:rPr>
        <w:t xml:space="preserve"> 缺陷责任期满经复查合格后7天内。</w:t>
      </w:r>
    </w:p>
    <w:p w14:paraId="17F86967">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14.4.2 最终结清证书和支付</w:t>
      </w:r>
    </w:p>
    <w:p w14:paraId="59AE8CB4">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（1）发包人完成最终结清申请单的审批并颁发最终结清证书的期限：</w:t>
      </w:r>
      <w:r>
        <w:rPr>
          <w:rFonts w:hint="eastAsia" w:ascii="宋体" w:cs="宋体"/>
          <w:color w:val="auto"/>
          <w:szCs w:val="21"/>
          <w:highlight w:val="none"/>
          <w:u w:val="single"/>
        </w:rPr>
        <w:t xml:space="preserve"> 缺陷责任期满经复查合格后14天内。</w:t>
      </w:r>
    </w:p>
    <w:p w14:paraId="1A259932">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（2）发包人完成支付的期限：</w:t>
      </w:r>
      <w:r>
        <w:rPr>
          <w:rFonts w:hint="eastAsia" w:ascii="宋体" w:cs="宋体"/>
          <w:color w:val="auto"/>
          <w:szCs w:val="21"/>
          <w:highlight w:val="none"/>
          <w:u w:val="single"/>
        </w:rPr>
        <w:t xml:space="preserve">发包人发票送达一周内完成支付 </w:t>
      </w:r>
      <w:r>
        <w:rPr>
          <w:rFonts w:hint="eastAsia" w:ascii="宋体" w:cs="宋体"/>
          <w:color w:val="auto"/>
          <w:szCs w:val="21"/>
          <w:highlight w:val="none"/>
        </w:rPr>
        <w:t>。</w:t>
      </w:r>
    </w:p>
    <w:p w14:paraId="76F0CA75">
      <w:pPr>
        <w:pStyle w:val="9"/>
        <w:snapToGrid w:val="0"/>
        <w:spacing w:line="440" w:lineRule="exact"/>
        <w:ind w:firstLine="420" w:firstLineChars="200"/>
        <w:rPr>
          <w:rFonts w:ascii="宋体" w:eastAsia="宋体" w:cs="宋体"/>
          <w:b w:val="0"/>
          <w:color w:val="auto"/>
          <w:sz w:val="21"/>
          <w:szCs w:val="21"/>
          <w:highlight w:val="none"/>
        </w:rPr>
      </w:pPr>
      <w:r>
        <w:rPr>
          <w:rFonts w:hint="eastAsia" w:ascii="宋体" w:eastAsia="宋体" w:cs="宋体"/>
          <w:b w:val="0"/>
          <w:color w:val="auto"/>
          <w:sz w:val="21"/>
          <w:szCs w:val="21"/>
          <w:highlight w:val="none"/>
        </w:rPr>
        <w:t>15. 缺陷责任期与保修</w:t>
      </w:r>
    </w:p>
    <w:p w14:paraId="2B1DE221">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15.2缺陷责任期</w:t>
      </w:r>
    </w:p>
    <w:p w14:paraId="6B9DD069">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缺陷责任期的具体期限：</w:t>
      </w:r>
      <w:r>
        <w:rPr>
          <w:rFonts w:hint="eastAsia" w:ascii="黑体" w:hAnsi="黑体" w:eastAsia="黑体" w:cs="黑体"/>
          <w:b/>
          <w:bCs/>
          <w:color w:val="auto"/>
          <w:szCs w:val="21"/>
          <w:highlight w:val="none"/>
          <w:u w:val="single"/>
        </w:rPr>
        <w:t>自竣工验收合格之日起12个月（详见付款方式）</w:t>
      </w:r>
      <w:r>
        <w:rPr>
          <w:rFonts w:hint="eastAsia" w:ascii="宋体" w:cs="宋体"/>
          <w:color w:val="auto"/>
          <w:szCs w:val="21"/>
          <w:highlight w:val="none"/>
          <w:u w:val="single"/>
        </w:rPr>
        <w:t>。</w:t>
      </w:r>
    </w:p>
    <w:p w14:paraId="00B5F557">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15.3 质量保证金</w:t>
      </w:r>
    </w:p>
    <w:p w14:paraId="3E8A8FCB">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关于是否扣留质量保证金的约定：</w:t>
      </w:r>
      <w:r>
        <w:rPr>
          <w:rFonts w:hint="eastAsia" w:ascii="宋体" w:cs="宋体"/>
          <w:color w:val="auto"/>
          <w:szCs w:val="21"/>
          <w:highlight w:val="none"/>
          <w:u w:val="single"/>
        </w:rPr>
        <w:t xml:space="preserve"> 是。   </w:t>
      </w:r>
    </w:p>
    <w:p w14:paraId="05F890DF">
      <w:pPr>
        <w:snapToGrid w:val="0"/>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在工程项目竣工前，承包人按专用合同条款第3.7条提供履约担保的，发包人不得同时预留工程质量保证金。</w:t>
      </w:r>
    </w:p>
    <w:p w14:paraId="34E72067">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1618DDAF">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质量保证金采用以下方式：</w:t>
      </w:r>
    </w:p>
    <w:p w14:paraId="1079C51F">
      <w:pPr>
        <w:autoSpaceDE w:val="0"/>
        <w:autoSpaceDN w:val="0"/>
        <w:adjustRightInd w:val="0"/>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 xml:space="preserve">（1）质量保证金保函； </w:t>
      </w:r>
    </w:p>
    <w:p w14:paraId="5364ABA2">
      <w:pPr>
        <w:autoSpaceDE w:val="0"/>
        <w:autoSpaceDN w:val="0"/>
        <w:adjustRightInd w:val="0"/>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（2）</w:t>
      </w:r>
      <w:r>
        <w:rPr>
          <w:rFonts w:hint="eastAsia" w:ascii="宋体" w:cs="宋体"/>
          <w:color w:val="auto"/>
          <w:kern w:val="0"/>
          <w:szCs w:val="21"/>
          <w:highlight w:val="none"/>
          <w:u w:val="single"/>
        </w:rPr>
        <w:t xml:space="preserve">  2%   </w:t>
      </w:r>
      <w:r>
        <w:rPr>
          <w:rFonts w:hint="eastAsia" w:ascii="宋体" w:cs="宋体"/>
          <w:color w:val="auto"/>
          <w:kern w:val="0"/>
          <w:szCs w:val="21"/>
          <w:highlight w:val="none"/>
        </w:rPr>
        <w:t>的工程款；</w:t>
      </w:r>
    </w:p>
    <w:p w14:paraId="53B3F75E">
      <w:pPr>
        <w:autoSpaceDE w:val="0"/>
        <w:autoSpaceDN w:val="0"/>
        <w:adjustRightInd w:val="0"/>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（3）其他方式:</w:t>
      </w:r>
      <w:r>
        <w:rPr>
          <w:rFonts w:hint="eastAsia" w:ascii="宋体" w:cs="宋体"/>
          <w:color w:val="auto"/>
          <w:kern w:val="0"/>
          <w:szCs w:val="21"/>
          <w:highlight w:val="none"/>
          <w:u w:val="single"/>
        </w:rPr>
        <w:t xml:space="preserve">        。</w:t>
      </w:r>
    </w:p>
    <w:p w14:paraId="7FD25BB8">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 xml:space="preserve">15.3.2 质量保证金的扣留 </w:t>
      </w:r>
    </w:p>
    <w:p w14:paraId="0D0B7A57">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质量保证金的扣留采取以下方式：</w:t>
      </w:r>
    </w:p>
    <w:p w14:paraId="33DFF26D">
      <w:pPr>
        <w:autoSpaceDE w:val="0"/>
        <w:autoSpaceDN w:val="0"/>
        <w:adjustRightInd w:val="0"/>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（1）在支付工程进度款时逐次扣留，在此情形下，质量保证金的计算基数不包括预付款的支付、扣回以及价格调整的金额；</w:t>
      </w:r>
    </w:p>
    <w:p w14:paraId="62F2E988">
      <w:pPr>
        <w:autoSpaceDE w:val="0"/>
        <w:autoSpaceDN w:val="0"/>
        <w:adjustRightInd w:val="0"/>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（2）工程竣工结算时一次性扣留质量保证金；</w:t>
      </w:r>
    </w:p>
    <w:p w14:paraId="65C580F7">
      <w:pPr>
        <w:autoSpaceDE w:val="0"/>
        <w:autoSpaceDN w:val="0"/>
        <w:adjustRightInd w:val="0"/>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（3）其他扣留方式:</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12605744">
      <w:pPr>
        <w:snapToGrid w:val="0"/>
        <w:spacing w:line="440" w:lineRule="exact"/>
        <w:ind w:firstLine="420" w:firstLineChars="200"/>
        <w:jc w:val="left"/>
        <w:rPr>
          <w:rFonts w:ascii="宋体" w:cs="宋体"/>
          <w:color w:val="auto"/>
          <w:kern w:val="0"/>
          <w:szCs w:val="21"/>
          <w:highlight w:val="none"/>
          <w:u w:val="single"/>
        </w:rPr>
      </w:pPr>
      <w:r>
        <w:rPr>
          <w:rFonts w:hint="eastAsia" w:ascii="宋体" w:cs="宋体"/>
          <w:color w:val="auto"/>
          <w:szCs w:val="21"/>
          <w:highlight w:val="none"/>
        </w:rPr>
        <w:t>关于质量保证金的补充约定：</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承包人在缺陷责任期内未履行保修义务的，缺陷责任期满经复查不合格的，质量保证金不予退还。</w:t>
      </w:r>
      <w:r>
        <w:rPr>
          <w:rFonts w:hint="eastAsia" w:ascii="宋体" w:cs="宋体"/>
          <w:color w:val="auto"/>
          <w:kern w:val="0"/>
          <w:szCs w:val="21"/>
          <w:highlight w:val="none"/>
          <w:u w:val="single"/>
        </w:rPr>
        <w:t>质量缺陷较多，多次催促整改不到位，处理不及时的，</w:t>
      </w:r>
      <w:r>
        <w:rPr>
          <w:rFonts w:hint="eastAsia" w:ascii="宋体" w:cs="宋体"/>
          <w:color w:val="auto"/>
          <w:szCs w:val="21"/>
          <w:highlight w:val="none"/>
          <w:u w:val="single"/>
        </w:rPr>
        <w:t>发包人可动用质保金，用于工程质量整改，同时限制承包人一年内不得参与我单位项目投标。</w:t>
      </w:r>
    </w:p>
    <w:p w14:paraId="2406CEB0">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15.4保修</w:t>
      </w:r>
    </w:p>
    <w:p w14:paraId="58F2588D">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15.4.1 保修责任</w:t>
      </w:r>
    </w:p>
    <w:p w14:paraId="1E2F5520">
      <w:pPr>
        <w:snapToGrid w:val="0"/>
        <w:spacing w:line="440" w:lineRule="exact"/>
        <w:ind w:firstLine="420" w:firstLineChars="200"/>
        <w:jc w:val="left"/>
        <w:rPr>
          <w:rFonts w:ascii="宋体" w:cs="宋体"/>
          <w:color w:val="auto"/>
          <w:kern w:val="0"/>
          <w:szCs w:val="21"/>
          <w:highlight w:val="none"/>
          <w:u w:val="single"/>
        </w:rPr>
      </w:pPr>
      <w:r>
        <w:rPr>
          <w:rFonts w:hint="eastAsia" w:ascii="宋体" w:cs="宋体"/>
          <w:color w:val="auto"/>
          <w:szCs w:val="21"/>
          <w:highlight w:val="none"/>
        </w:rPr>
        <w:t>工程保修期为：</w:t>
      </w:r>
      <w:r>
        <w:rPr>
          <w:rFonts w:hint="eastAsia" w:ascii="宋体" w:cs="宋体"/>
          <w:color w:val="auto"/>
          <w:kern w:val="0"/>
          <w:szCs w:val="21"/>
          <w:highlight w:val="none"/>
          <w:u w:val="single"/>
        </w:rPr>
        <w:t xml:space="preserve">   执行《建设工程质量管理条例》及有关规定。     </w:t>
      </w:r>
    </w:p>
    <w:p w14:paraId="3DE26798">
      <w:pPr>
        <w:snapToGrid w:val="0"/>
        <w:spacing w:line="440" w:lineRule="exact"/>
        <w:ind w:firstLine="420" w:firstLineChars="200"/>
        <w:jc w:val="left"/>
        <w:rPr>
          <w:rFonts w:ascii="宋体" w:cs="宋体"/>
          <w:color w:val="auto"/>
          <w:kern w:val="0"/>
          <w:szCs w:val="21"/>
          <w:highlight w:val="none"/>
          <w:u w:val="single"/>
        </w:rPr>
      </w:pPr>
      <w:r>
        <w:rPr>
          <w:rFonts w:hint="eastAsia" w:ascii="宋体" w:cs="宋体"/>
          <w:color w:val="auto"/>
          <w:kern w:val="0"/>
          <w:szCs w:val="21"/>
          <w:highlight w:val="none"/>
        </w:rPr>
        <w:t>承包人收到保修通知并到达工程现场的合理时间：</w:t>
      </w:r>
      <w:r>
        <w:rPr>
          <w:rFonts w:hint="eastAsia" w:ascii="宋体" w:cs="宋体"/>
          <w:color w:val="auto"/>
          <w:kern w:val="0"/>
          <w:szCs w:val="21"/>
          <w:highlight w:val="none"/>
          <w:u w:val="single"/>
        </w:rPr>
        <w:t xml:space="preserve">自承包人收到保修通知起24小时内到达工程现场。  </w:t>
      </w:r>
    </w:p>
    <w:p w14:paraId="538DECCA">
      <w:pPr>
        <w:pStyle w:val="9"/>
        <w:snapToGrid w:val="0"/>
        <w:spacing w:line="440" w:lineRule="exact"/>
        <w:ind w:firstLine="420" w:firstLineChars="200"/>
        <w:rPr>
          <w:rFonts w:ascii="宋体" w:eastAsia="宋体" w:cs="宋体"/>
          <w:b w:val="0"/>
          <w:color w:val="auto"/>
          <w:sz w:val="21"/>
          <w:szCs w:val="21"/>
          <w:highlight w:val="none"/>
        </w:rPr>
      </w:pPr>
      <w:r>
        <w:rPr>
          <w:rFonts w:hint="eastAsia" w:ascii="宋体" w:eastAsia="宋体" w:cs="宋体"/>
          <w:b w:val="0"/>
          <w:color w:val="auto"/>
          <w:sz w:val="21"/>
          <w:szCs w:val="21"/>
          <w:highlight w:val="none"/>
        </w:rPr>
        <w:t>16. 违约</w:t>
      </w:r>
    </w:p>
    <w:p w14:paraId="5DD28489">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16.1 发包人违约</w:t>
      </w:r>
    </w:p>
    <w:p w14:paraId="5A562D6B">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16.1.1发包人违约的情形</w:t>
      </w:r>
    </w:p>
    <w:p w14:paraId="57FD9E87">
      <w:pPr>
        <w:snapToGrid w:val="0"/>
        <w:spacing w:line="440" w:lineRule="exact"/>
        <w:ind w:firstLine="420" w:firstLineChars="200"/>
        <w:jc w:val="left"/>
        <w:rPr>
          <w:rFonts w:ascii="宋体" w:cs="宋体"/>
          <w:color w:val="auto"/>
          <w:kern w:val="0"/>
          <w:szCs w:val="21"/>
          <w:highlight w:val="none"/>
          <w:u w:val="single"/>
        </w:rPr>
      </w:pPr>
      <w:r>
        <w:rPr>
          <w:rFonts w:hint="eastAsia" w:ascii="宋体" w:cs="宋体"/>
          <w:color w:val="auto"/>
          <w:kern w:val="0"/>
          <w:szCs w:val="21"/>
          <w:highlight w:val="none"/>
        </w:rPr>
        <w:t>发包人违约的其他情形：</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0A50D5D3">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16.1.2 发包人违约的责任</w:t>
      </w:r>
    </w:p>
    <w:p w14:paraId="4A1CED23">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发包人违约责任的承担方式和计算方法：</w:t>
      </w:r>
    </w:p>
    <w:p w14:paraId="754AFEB4">
      <w:pPr>
        <w:snapToGrid w:val="0"/>
        <w:spacing w:line="440" w:lineRule="exact"/>
        <w:ind w:firstLine="420" w:firstLineChars="200"/>
        <w:jc w:val="left"/>
        <w:rPr>
          <w:rFonts w:ascii="宋体" w:cs="宋体"/>
          <w:color w:val="auto"/>
          <w:kern w:val="0"/>
          <w:szCs w:val="21"/>
          <w:highlight w:val="none"/>
          <w:u w:val="single"/>
        </w:rPr>
      </w:pPr>
      <w:r>
        <w:rPr>
          <w:rFonts w:hint="eastAsia" w:ascii="宋体" w:cs="宋体"/>
          <w:color w:val="auto"/>
          <w:kern w:val="0"/>
          <w:szCs w:val="21"/>
          <w:highlight w:val="none"/>
        </w:rPr>
        <w:t>（1）因发包人原因未能在计划开工日期前7天内下达开工通知的违约责任：</w:t>
      </w:r>
      <w:r>
        <w:rPr>
          <w:rFonts w:hint="eastAsia" w:ascii="宋体" w:cs="宋体"/>
          <w:color w:val="auto"/>
          <w:kern w:val="0"/>
          <w:szCs w:val="21"/>
          <w:highlight w:val="none"/>
          <w:u w:val="single"/>
        </w:rPr>
        <w:t>对工期造成影响的可顺延工期</w:t>
      </w:r>
      <w:r>
        <w:rPr>
          <w:rFonts w:hint="eastAsia" w:ascii="宋体" w:cs="宋体"/>
          <w:color w:val="auto"/>
          <w:kern w:val="0"/>
          <w:szCs w:val="21"/>
          <w:highlight w:val="none"/>
        </w:rPr>
        <w:t>。</w:t>
      </w:r>
    </w:p>
    <w:p w14:paraId="5452F63B">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（2）因发包人原因未能按合同约定支付合同价款的违约责任：</w:t>
      </w:r>
      <w:r>
        <w:rPr>
          <w:rFonts w:hint="eastAsia" w:ascii="宋体" w:cs="宋体"/>
          <w:color w:val="auto"/>
          <w:kern w:val="0"/>
          <w:szCs w:val="21"/>
          <w:highlight w:val="none"/>
          <w:u w:val="single"/>
        </w:rPr>
        <w:t>可按照中国人民银行发布的同期同类贷款基准利率支付违约金</w:t>
      </w:r>
      <w:r>
        <w:rPr>
          <w:rFonts w:hint="eastAsia" w:ascii="宋体" w:cs="宋体"/>
          <w:color w:val="auto"/>
          <w:kern w:val="0"/>
          <w:szCs w:val="21"/>
          <w:highlight w:val="none"/>
        </w:rPr>
        <w:t>。</w:t>
      </w:r>
    </w:p>
    <w:p w14:paraId="3350BD10">
      <w:pPr>
        <w:snapToGrid w:val="0"/>
        <w:spacing w:line="440" w:lineRule="exact"/>
        <w:ind w:firstLine="420" w:firstLineChars="200"/>
        <w:jc w:val="left"/>
        <w:rPr>
          <w:rFonts w:ascii="宋体" w:cs="宋体"/>
          <w:color w:val="auto"/>
          <w:kern w:val="0"/>
          <w:szCs w:val="21"/>
          <w:highlight w:val="none"/>
          <w:u w:val="single"/>
        </w:rPr>
      </w:pPr>
      <w:r>
        <w:rPr>
          <w:rFonts w:hint="eastAsia" w:ascii="宋体" w:cs="宋体"/>
          <w:color w:val="auto"/>
          <w:kern w:val="0"/>
          <w:szCs w:val="21"/>
          <w:highlight w:val="none"/>
        </w:rPr>
        <w:t>（3）发包人违反第10.1款〔变更的范围〕第（2）项约定，自行实施被取消的工作或转由他人实施的违约责任：</w:t>
      </w:r>
      <w:r>
        <w:rPr>
          <w:rFonts w:hint="eastAsia" w:ascii="宋体" w:cs="宋体"/>
          <w:color w:val="auto"/>
          <w:kern w:val="0"/>
          <w:szCs w:val="21"/>
          <w:highlight w:val="none"/>
          <w:u w:val="single"/>
        </w:rPr>
        <w:t xml:space="preserve">   发包人可追加与被取消的工作造价相当的额外工作做为补偿</w:t>
      </w:r>
      <w:r>
        <w:rPr>
          <w:rFonts w:hint="eastAsia" w:ascii="宋体" w:cs="宋体"/>
          <w:color w:val="auto"/>
          <w:kern w:val="0"/>
          <w:szCs w:val="21"/>
          <w:highlight w:val="none"/>
        </w:rPr>
        <w:t>。</w:t>
      </w:r>
    </w:p>
    <w:p w14:paraId="1F0BD20D">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cs="宋体"/>
          <w:color w:val="auto"/>
          <w:kern w:val="0"/>
          <w:szCs w:val="21"/>
          <w:highlight w:val="none"/>
          <w:u w:val="single"/>
        </w:rPr>
        <w:t xml:space="preserve">发包人可补足或更换材料、工程设备；对工期造成延误的可以顺延；增加承包人成本的可予以补偿  </w:t>
      </w:r>
      <w:r>
        <w:rPr>
          <w:rFonts w:hint="eastAsia" w:ascii="宋体" w:cs="宋体"/>
          <w:color w:val="auto"/>
          <w:kern w:val="0"/>
          <w:szCs w:val="21"/>
          <w:highlight w:val="none"/>
        </w:rPr>
        <w:t>。</w:t>
      </w:r>
    </w:p>
    <w:p w14:paraId="044F1D43">
      <w:pPr>
        <w:snapToGrid w:val="0"/>
        <w:spacing w:line="440" w:lineRule="exact"/>
        <w:ind w:firstLine="420" w:firstLineChars="200"/>
        <w:jc w:val="left"/>
        <w:rPr>
          <w:rFonts w:ascii="宋体" w:cs="宋体"/>
          <w:color w:val="auto"/>
          <w:kern w:val="0"/>
          <w:szCs w:val="21"/>
          <w:highlight w:val="none"/>
          <w:u w:val="single"/>
        </w:rPr>
      </w:pPr>
      <w:r>
        <w:rPr>
          <w:rFonts w:hint="eastAsia" w:ascii="宋体" w:cs="宋体"/>
          <w:color w:val="auto"/>
          <w:kern w:val="0"/>
          <w:szCs w:val="21"/>
          <w:highlight w:val="none"/>
        </w:rPr>
        <w:t>（5）因发包人违反合同约定造成暂停施工的违约责任：</w:t>
      </w:r>
      <w:r>
        <w:rPr>
          <w:rFonts w:hint="eastAsia" w:ascii="宋体" w:cs="宋体"/>
          <w:color w:val="auto"/>
          <w:kern w:val="0"/>
          <w:szCs w:val="21"/>
          <w:highlight w:val="none"/>
          <w:u w:val="single"/>
        </w:rPr>
        <w:t xml:space="preserve">  可顺延工期  </w:t>
      </w:r>
      <w:r>
        <w:rPr>
          <w:rFonts w:hint="eastAsia" w:ascii="宋体" w:cs="宋体"/>
          <w:color w:val="auto"/>
          <w:kern w:val="0"/>
          <w:szCs w:val="21"/>
          <w:highlight w:val="none"/>
        </w:rPr>
        <w:t>。</w:t>
      </w:r>
    </w:p>
    <w:p w14:paraId="651B094C">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（6）发包人无正当理由没有在约定期限内发出复工指示，导致承包人无法复工的违约责任：</w:t>
      </w:r>
      <w:r>
        <w:rPr>
          <w:rFonts w:hint="eastAsia" w:ascii="宋体" w:cs="宋体"/>
          <w:color w:val="auto"/>
          <w:kern w:val="0"/>
          <w:szCs w:val="21"/>
          <w:highlight w:val="none"/>
          <w:u w:val="single"/>
        </w:rPr>
        <w:t xml:space="preserve"> 对工期造成影响的可顺延工期  </w:t>
      </w:r>
      <w:r>
        <w:rPr>
          <w:rFonts w:hint="eastAsia" w:ascii="宋体" w:cs="宋体"/>
          <w:color w:val="auto"/>
          <w:kern w:val="0"/>
          <w:szCs w:val="21"/>
          <w:highlight w:val="none"/>
        </w:rPr>
        <w:t>。</w:t>
      </w:r>
    </w:p>
    <w:p w14:paraId="585C0604">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（7）其他：</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7917D4BE">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16.1.3 因发包人违约解除合同</w:t>
      </w:r>
    </w:p>
    <w:p w14:paraId="6A524F3B">
      <w:pPr>
        <w:autoSpaceDE w:val="0"/>
        <w:autoSpaceDN w:val="0"/>
        <w:adjustRightInd w:val="0"/>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承包人按16.1.1项〔发包人违约的情形〕约定暂停施工满</w:t>
      </w:r>
      <w:r>
        <w:rPr>
          <w:rFonts w:hint="eastAsia" w:ascii="宋体" w:cs="宋体"/>
          <w:color w:val="auto"/>
          <w:kern w:val="0"/>
          <w:szCs w:val="21"/>
          <w:highlight w:val="none"/>
          <w:u w:val="single"/>
        </w:rPr>
        <w:t xml:space="preserve">  28  </w:t>
      </w:r>
      <w:r>
        <w:rPr>
          <w:rFonts w:hint="eastAsia" w:ascii="宋体" w:cs="宋体"/>
          <w:color w:val="auto"/>
          <w:kern w:val="0"/>
          <w:szCs w:val="21"/>
          <w:highlight w:val="none"/>
        </w:rPr>
        <w:t>天后发包人仍不纠正其违约行为并致使合同目的不能实现的，承包人有权解除合同。</w:t>
      </w:r>
    </w:p>
    <w:p w14:paraId="485E58E5">
      <w:pPr>
        <w:snapToGrid w:val="0"/>
        <w:spacing w:line="440" w:lineRule="exact"/>
        <w:ind w:firstLine="420" w:firstLineChars="200"/>
        <w:rPr>
          <w:rFonts w:ascii="宋体" w:cs="宋体"/>
          <w:color w:val="auto"/>
          <w:szCs w:val="21"/>
          <w:highlight w:val="none"/>
        </w:rPr>
      </w:pPr>
      <w:r>
        <w:rPr>
          <w:rFonts w:hint="eastAsia" w:ascii="宋体" w:cs="宋体"/>
          <w:color w:val="auto"/>
          <w:szCs w:val="21"/>
          <w:highlight w:val="none"/>
        </w:rPr>
        <w:t>16.2 承包人违约</w:t>
      </w:r>
    </w:p>
    <w:p w14:paraId="4C1E7AED">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16.2.1 承包人违约的情形</w:t>
      </w:r>
    </w:p>
    <w:p w14:paraId="607C13C9">
      <w:pPr>
        <w:snapToGrid w:val="0"/>
        <w:spacing w:line="440" w:lineRule="exact"/>
        <w:ind w:firstLine="420" w:firstLineChars="200"/>
        <w:jc w:val="left"/>
        <w:rPr>
          <w:rFonts w:ascii="宋体" w:cs="宋体"/>
          <w:color w:val="auto"/>
          <w:kern w:val="0"/>
          <w:szCs w:val="21"/>
          <w:highlight w:val="none"/>
          <w:u w:val="single"/>
        </w:rPr>
      </w:pPr>
      <w:r>
        <w:rPr>
          <w:rFonts w:hint="eastAsia" w:ascii="宋体" w:cs="宋体"/>
          <w:color w:val="auto"/>
          <w:kern w:val="0"/>
          <w:szCs w:val="21"/>
          <w:highlight w:val="none"/>
        </w:rPr>
        <w:t>承包人违约的其他情形：</w:t>
      </w:r>
      <w:r>
        <w:rPr>
          <w:rFonts w:hint="eastAsia" w:ascii="宋体" w:cs="宋体"/>
          <w:color w:val="auto"/>
          <w:kern w:val="0"/>
          <w:szCs w:val="21"/>
          <w:highlight w:val="none"/>
          <w:u w:val="single"/>
        </w:rPr>
        <w:t xml:space="preserve">  /   </w:t>
      </w:r>
      <w:r>
        <w:rPr>
          <w:rFonts w:hint="eastAsia" w:ascii="宋体" w:cs="宋体"/>
          <w:color w:val="auto"/>
          <w:kern w:val="0"/>
          <w:szCs w:val="21"/>
          <w:highlight w:val="none"/>
        </w:rPr>
        <w:t>。</w:t>
      </w:r>
    </w:p>
    <w:p w14:paraId="1D16E0C2">
      <w:pPr>
        <w:snapToGri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16.2.2承包人违约的责任</w:t>
      </w:r>
    </w:p>
    <w:p w14:paraId="15DFEEF1">
      <w:pPr>
        <w:snapToGrid w:val="0"/>
        <w:spacing w:line="440" w:lineRule="exact"/>
        <w:ind w:firstLine="420" w:firstLineChars="200"/>
        <w:jc w:val="left"/>
        <w:rPr>
          <w:rFonts w:ascii="宋体" w:cs="宋体"/>
          <w:color w:val="auto"/>
          <w:kern w:val="0"/>
          <w:szCs w:val="21"/>
          <w:highlight w:val="none"/>
          <w:u w:val="single"/>
        </w:rPr>
      </w:pPr>
      <w:r>
        <w:rPr>
          <w:rFonts w:hint="eastAsia" w:ascii="宋体" w:cs="宋体"/>
          <w:color w:val="auto"/>
          <w:kern w:val="0"/>
          <w:szCs w:val="21"/>
          <w:highlight w:val="none"/>
        </w:rPr>
        <w:t>承包人违约责任的承担方式和计算方法：</w:t>
      </w:r>
      <w:r>
        <w:rPr>
          <w:rFonts w:hint="eastAsia" w:ascii="宋体" w:cs="宋体"/>
          <w:color w:val="auto"/>
          <w:kern w:val="0"/>
          <w:szCs w:val="21"/>
          <w:highlight w:val="none"/>
          <w:u w:val="single"/>
        </w:rPr>
        <w:t xml:space="preserve"> /   </w:t>
      </w:r>
      <w:r>
        <w:rPr>
          <w:rFonts w:hint="eastAsia" w:ascii="宋体" w:cs="宋体"/>
          <w:color w:val="auto"/>
          <w:kern w:val="0"/>
          <w:szCs w:val="21"/>
          <w:highlight w:val="none"/>
        </w:rPr>
        <w:t>。</w:t>
      </w:r>
      <w:r>
        <w:rPr>
          <w:rFonts w:hint="eastAsia" w:ascii="宋体" w:cs="宋体"/>
          <w:color w:val="auto"/>
          <w:szCs w:val="21"/>
          <w:highlight w:val="none"/>
        </w:rPr>
        <w:t xml:space="preserve">    </w:t>
      </w:r>
    </w:p>
    <w:p w14:paraId="1976DAD6">
      <w:pPr>
        <w:snapToGrid w:val="0"/>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16.2.3 因承包人违约解除合同</w:t>
      </w:r>
    </w:p>
    <w:p w14:paraId="5C2024D0">
      <w:pPr>
        <w:snapToGrid w:val="0"/>
        <w:spacing w:line="440" w:lineRule="exact"/>
        <w:ind w:firstLine="420" w:firstLineChars="200"/>
        <w:rPr>
          <w:rFonts w:ascii="宋体" w:cs="宋体"/>
          <w:color w:val="auto"/>
          <w:kern w:val="0"/>
          <w:szCs w:val="21"/>
          <w:highlight w:val="none"/>
        </w:rPr>
      </w:pPr>
      <w:r>
        <w:rPr>
          <w:rFonts w:hint="eastAsia" w:ascii="宋体" w:cs="宋体"/>
          <w:color w:val="auto"/>
          <w:kern w:val="0"/>
          <w:szCs w:val="21"/>
          <w:highlight w:val="none"/>
        </w:rPr>
        <w:t>关于承包人违约解除合同的特别约定：</w:t>
      </w:r>
      <w:r>
        <w:rPr>
          <w:rFonts w:hint="eastAsia" w:ascii="宋体" w:cs="宋体"/>
          <w:color w:val="auto"/>
          <w:kern w:val="0"/>
          <w:szCs w:val="21"/>
          <w:highlight w:val="none"/>
          <w:u w:val="single"/>
        </w:rPr>
        <w:t>/</w:t>
      </w:r>
      <w:r>
        <w:rPr>
          <w:rFonts w:hint="eastAsia" w:ascii="宋体" w:cs="宋体"/>
          <w:color w:val="auto"/>
          <w:szCs w:val="21"/>
          <w:highlight w:val="none"/>
          <w:u w:val="single"/>
        </w:rPr>
        <w:t>。</w:t>
      </w:r>
    </w:p>
    <w:p w14:paraId="3CB18406">
      <w:pPr>
        <w:snapToGrid w:val="0"/>
        <w:spacing w:line="420" w:lineRule="exact"/>
        <w:ind w:firstLine="420" w:firstLineChars="200"/>
        <w:rPr>
          <w:rFonts w:ascii="宋体" w:cs="宋体"/>
          <w:color w:val="auto"/>
          <w:kern w:val="0"/>
          <w:szCs w:val="21"/>
          <w:highlight w:val="none"/>
        </w:rPr>
      </w:pPr>
      <w:r>
        <w:rPr>
          <w:rFonts w:hint="eastAsia" w:asci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cs="宋体"/>
          <w:color w:val="auto"/>
          <w:kern w:val="0"/>
          <w:szCs w:val="21"/>
          <w:highlight w:val="none"/>
          <w:u w:val="single"/>
        </w:rPr>
        <w:t xml:space="preserve">   发包人不承担费用   </w:t>
      </w:r>
      <w:r>
        <w:rPr>
          <w:rFonts w:hint="eastAsia" w:ascii="宋体" w:cs="宋体"/>
          <w:color w:val="auto"/>
          <w:kern w:val="0"/>
          <w:szCs w:val="21"/>
          <w:highlight w:val="none"/>
        </w:rPr>
        <w:t>。</w:t>
      </w:r>
    </w:p>
    <w:p w14:paraId="134A95DB">
      <w:pPr>
        <w:pStyle w:val="9"/>
        <w:snapToGrid w:val="0"/>
        <w:spacing w:line="420" w:lineRule="exact"/>
        <w:ind w:firstLine="420" w:firstLineChars="200"/>
        <w:rPr>
          <w:rFonts w:ascii="宋体" w:eastAsia="宋体" w:cs="宋体"/>
          <w:b w:val="0"/>
          <w:color w:val="auto"/>
          <w:sz w:val="21"/>
          <w:szCs w:val="21"/>
          <w:highlight w:val="none"/>
        </w:rPr>
      </w:pPr>
      <w:r>
        <w:rPr>
          <w:rFonts w:hint="eastAsia" w:ascii="宋体" w:eastAsia="宋体" w:cs="宋体"/>
          <w:b w:val="0"/>
          <w:color w:val="auto"/>
          <w:sz w:val="21"/>
          <w:szCs w:val="21"/>
          <w:highlight w:val="none"/>
        </w:rPr>
        <w:t xml:space="preserve">17. 不可抗力 </w:t>
      </w:r>
    </w:p>
    <w:p w14:paraId="140C177F">
      <w:pPr>
        <w:snapToGrid w:val="0"/>
        <w:spacing w:line="420" w:lineRule="exact"/>
        <w:ind w:firstLine="420" w:firstLineChars="200"/>
        <w:rPr>
          <w:rFonts w:ascii="宋体" w:cs="宋体"/>
          <w:color w:val="auto"/>
          <w:szCs w:val="21"/>
          <w:highlight w:val="none"/>
        </w:rPr>
      </w:pPr>
      <w:r>
        <w:rPr>
          <w:rFonts w:hint="eastAsia" w:ascii="宋体" w:cs="宋体"/>
          <w:color w:val="auto"/>
          <w:szCs w:val="21"/>
          <w:highlight w:val="none"/>
        </w:rPr>
        <w:t>17.1 不可抗力的确认</w:t>
      </w:r>
    </w:p>
    <w:p w14:paraId="2D167CB9">
      <w:pPr>
        <w:snapToGrid w:val="0"/>
        <w:spacing w:line="420" w:lineRule="exact"/>
        <w:ind w:firstLine="420" w:firstLineChars="200"/>
        <w:jc w:val="left"/>
        <w:rPr>
          <w:rFonts w:ascii="宋体" w:cs="宋体"/>
          <w:color w:val="auto"/>
          <w:kern w:val="0"/>
          <w:szCs w:val="21"/>
          <w:highlight w:val="none"/>
          <w:u w:val="single"/>
        </w:rPr>
      </w:pPr>
      <w:r>
        <w:rPr>
          <w:rFonts w:hint="eastAsia" w:ascii="宋体" w:cs="宋体"/>
          <w:color w:val="auto"/>
          <w:szCs w:val="21"/>
          <w:highlight w:val="none"/>
        </w:rPr>
        <w:t>除通用合同条款约定的不可抗力事件之外，视为不可抗力的其他情形：</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无</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7978308C">
      <w:pPr>
        <w:snapToGrid w:val="0"/>
        <w:spacing w:line="420" w:lineRule="exact"/>
        <w:ind w:firstLine="420" w:firstLineChars="200"/>
        <w:rPr>
          <w:rFonts w:ascii="宋体" w:cs="宋体"/>
          <w:color w:val="auto"/>
          <w:szCs w:val="21"/>
          <w:highlight w:val="none"/>
        </w:rPr>
      </w:pPr>
      <w:r>
        <w:rPr>
          <w:rFonts w:hint="eastAsia" w:ascii="宋体" w:cs="宋体"/>
          <w:color w:val="auto"/>
          <w:szCs w:val="21"/>
          <w:highlight w:val="none"/>
        </w:rPr>
        <w:t>17.4 因不可抗力解除合同</w:t>
      </w:r>
    </w:p>
    <w:p w14:paraId="2DCD552D">
      <w:pPr>
        <w:snapToGrid w:val="0"/>
        <w:spacing w:line="420" w:lineRule="exact"/>
        <w:ind w:firstLine="420" w:firstLineChars="200"/>
        <w:jc w:val="left"/>
        <w:rPr>
          <w:rFonts w:ascii="宋体" w:cs="宋体"/>
          <w:color w:val="auto"/>
          <w:szCs w:val="21"/>
          <w:highlight w:val="none"/>
        </w:rPr>
      </w:pPr>
      <w:r>
        <w:rPr>
          <w:rFonts w:hint="eastAsia" w:ascii="宋体" w:cs="宋体"/>
          <w:color w:val="auto"/>
          <w:szCs w:val="21"/>
          <w:highlight w:val="none"/>
        </w:rPr>
        <w:t>合同解除后，发包人应在</w:t>
      </w:r>
      <w:r>
        <w:rPr>
          <w:rFonts w:hint="eastAsia" w:ascii="宋体" w:cs="宋体"/>
          <w:color w:val="auto"/>
          <w:szCs w:val="21"/>
          <w:highlight w:val="none"/>
          <w:u w:val="single"/>
        </w:rPr>
        <w:t>发票送达一周内</w:t>
      </w:r>
      <w:r>
        <w:rPr>
          <w:rFonts w:hint="eastAsia" w:ascii="宋体" w:cs="宋体"/>
          <w:color w:val="auto"/>
          <w:szCs w:val="21"/>
          <w:highlight w:val="none"/>
        </w:rPr>
        <w:t>完成款项的支付。</w:t>
      </w:r>
    </w:p>
    <w:p w14:paraId="056761A6">
      <w:pPr>
        <w:pStyle w:val="9"/>
        <w:snapToGrid w:val="0"/>
        <w:spacing w:line="420" w:lineRule="exact"/>
        <w:ind w:firstLine="420" w:firstLineChars="200"/>
        <w:rPr>
          <w:rFonts w:ascii="宋体" w:eastAsia="宋体" w:cs="宋体"/>
          <w:b w:val="0"/>
          <w:color w:val="auto"/>
          <w:sz w:val="21"/>
          <w:szCs w:val="21"/>
          <w:highlight w:val="none"/>
        </w:rPr>
      </w:pPr>
      <w:r>
        <w:rPr>
          <w:rFonts w:hint="eastAsia" w:ascii="宋体" w:eastAsia="宋体" w:cs="宋体"/>
          <w:b w:val="0"/>
          <w:color w:val="auto"/>
          <w:sz w:val="21"/>
          <w:szCs w:val="21"/>
          <w:highlight w:val="none"/>
        </w:rPr>
        <w:t>18. 保险</w:t>
      </w:r>
    </w:p>
    <w:p w14:paraId="2273528D">
      <w:pPr>
        <w:snapToGrid w:val="0"/>
        <w:spacing w:line="420" w:lineRule="exact"/>
        <w:ind w:firstLine="420" w:firstLineChars="200"/>
        <w:rPr>
          <w:rFonts w:ascii="宋体" w:cs="宋体"/>
          <w:color w:val="auto"/>
          <w:szCs w:val="21"/>
          <w:highlight w:val="none"/>
        </w:rPr>
      </w:pPr>
      <w:r>
        <w:rPr>
          <w:rFonts w:hint="eastAsia" w:ascii="宋体" w:cs="宋体"/>
          <w:color w:val="auto"/>
          <w:szCs w:val="21"/>
          <w:highlight w:val="none"/>
        </w:rPr>
        <w:t>18.1 工程保险</w:t>
      </w:r>
    </w:p>
    <w:p w14:paraId="44174D81">
      <w:pPr>
        <w:snapToGrid w:val="0"/>
        <w:spacing w:line="420" w:lineRule="exact"/>
        <w:ind w:firstLine="420" w:firstLineChars="200"/>
        <w:rPr>
          <w:color w:val="auto"/>
          <w:highlight w:val="none"/>
        </w:rPr>
      </w:pPr>
      <w:r>
        <w:rPr>
          <w:rFonts w:hint="eastAsia"/>
          <w:color w:val="auto"/>
          <w:highlight w:val="none"/>
        </w:rPr>
        <w:t>关于工程保险的特别约定：</w:t>
      </w:r>
      <w:r>
        <w:rPr>
          <w:rFonts w:hint="eastAsia"/>
          <w:color w:val="auto"/>
          <w:highlight w:val="none"/>
          <w:u w:val="single"/>
        </w:rPr>
        <w:t xml:space="preserve"> 无   </w:t>
      </w:r>
      <w:r>
        <w:rPr>
          <w:rFonts w:hint="eastAsia"/>
          <w:color w:val="auto"/>
          <w:highlight w:val="none"/>
        </w:rPr>
        <w:t>。</w:t>
      </w:r>
    </w:p>
    <w:p w14:paraId="5FB648E8">
      <w:pPr>
        <w:snapToGrid w:val="0"/>
        <w:spacing w:line="420" w:lineRule="exact"/>
        <w:ind w:firstLine="420" w:firstLineChars="200"/>
        <w:rPr>
          <w:rFonts w:ascii="宋体" w:cs="宋体"/>
          <w:color w:val="auto"/>
          <w:szCs w:val="21"/>
          <w:highlight w:val="none"/>
        </w:rPr>
      </w:pPr>
      <w:r>
        <w:rPr>
          <w:rFonts w:hint="eastAsia" w:ascii="宋体" w:cs="宋体"/>
          <w:color w:val="auto"/>
          <w:szCs w:val="21"/>
          <w:highlight w:val="none"/>
        </w:rPr>
        <w:t>18.3 其他保险</w:t>
      </w:r>
    </w:p>
    <w:p w14:paraId="742A6C00">
      <w:pPr>
        <w:snapToGrid w:val="0"/>
        <w:spacing w:line="420" w:lineRule="exact"/>
        <w:ind w:firstLine="420" w:firstLineChars="200"/>
        <w:jc w:val="left"/>
        <w:rPr>
          <w:rFonts w:ascii="宋体" w:cs="宋体"/>
          <w:color w:val="auto"/>
          <w:kern w:val="0"/>
          <w:szCs w:val="21"/>
          <w:highlight w:val="none"/>
        </w:rPr>
      </w:pPr>
      <w:r>
        <w:rPr>
          <w:rFonts w:hint="eastAsia" w:ascii="宋体" w:cs="宋体"/>
          <w:color w:val="auto"/>
          <w:szCs w:val="21"/>
          <w:highlight w:val="none"/>
        </w:rPr>
        <w:t>关于其他保险的约定：</w:t>
      </w:r>
      <w:r>
        <w:rPr>
          <w:rFonts w:hint="eastAsia" w:ascii="宋体" w:cs="宋体"/>
          <w:color w:val="auto"/>
          <w:kern w:val="0"/>
          <w:szCs w:val="21"/>
          <w:highlight w:val="none"/>
          <w:u w:val="single"/>
        </w:rPr>
        <w:t xml:space="preserve"> 执行国家、省、市有关规定</w:t>
      </w:r>
    </w:p>
    <w:p w14:paraId="5B1DF67E">
      <w:pPr>
        <w:snapToGrid w:val="0"/>
        <w:spacing w:line="42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承包人是否应为其施工设备等办理财产保险：</w:t>
      </w:r>
      <w:r>
        <w:rPr>
          <w:rFonts w:hint="eastAsia" w:ascii="宋体" w:cs="宋体"/>
          <w:color w:val="auto"/>
          <w:szCs w:val="21"/>
          <w:highlight w:val="none"/>
          <w:u w:val="single"/>
        </w:rPr>
        <w:t xml:space="preserve"> 承包人应为其施工设备等办理财产保险。</w:t>
      </w:r>
    </w:p>
    <w:p w14:paraId="30F49FD4">
      <w:pPr>
        <w:snapToGrid w:val="0"/>
        <w:spacing w:line="420" w:lineRule="exact"/>
        <w:ind w:firstLine="420" w:firstLineChars="200"/>
        <w:rPr>
          <w:rFonts w:ascii="宋体" w:cs="宋体"/>
          <w:color w:val="auto"/>
          <w:szCs w:val="21"/>
          <w:highlight w:val="none"/>
        </w:rPr>
      </w:pPr>
      <w:r>
        <w:rPr>
          <w:rFonts w:hint="eastAsia" w:ascii="宋体" w:cs="宋体"/>
          <w:color w:val="auto"/>
          <w:szCs w:val="21"/>
          <w:highlight w:val="none"/>
        </w:rPr>
        <w:t>18.7 通知义务</w:t>
      </w:r>
    </w:p>
    <w:p w14:paraId="5A00774C">
      <w:pPr>
        <w:snapToGrid w:val="0"/>
        <w:spacing w:line="420" w:lineRule="exact"/>
        <w:ind w:firstLine="420" w:firstLineChars="200"/>
        <w:jc w:val="left"/>
        <w:rPr>
          <w:rFonts w:ascii="宋体" w:cs="宋体"/>
          <w:color w:val="auto"/>
          <w:kern w:val="0"/>
          <w:szCs w:val="21"/>
          <w:highlight w:val="none"/>
          <w:u w:val="single"/>
        </w:rPr>
      </w:pPr>
      <w:r>
        <w:rPr>
          <w:rFonts w:hint="eastAsia" w:ascii="宋体" w:cs="宋体"/>
          <w:color w:val="auto"/>
          <w:kern w:val="0"/>
          <w:szCs w:val="21"/>
          <w:highlight w:val="none"/>
        </w:rPr>
        <w:t>关于变更保险合同时的通知义务的约定：</w:t>
      </w:r>
      <w:r>
        <w:rPr>
          <w:rFonts w:hint="eastAsia" w:ascii="宋体" w:cs="宋体"/>
          <w:color w:val="auto"/>
          <w:kern w:val="0"/>
          <w:szCs w:val="21"/>
          <w:highlight w:val="none"/>
          <w:u w:val="single"/>
        </w:rPr>
        <w:t>发包人变更除工伤保险之外的保险合同时，应事先征得承包人同意，并通知发包人；承包人变更除工伤保险之外的保险合同时，应事先征得发包人同意，并通知发包人。</w:t>
      </w:r>
    </w:p>
    <w:p w14:paraId="33C42802">
      <w:pPr>
        <w:snapToGrid w:val="0"/>
        <w:spacing w:line="420" w:lineRule="exact"/>
        <w:ind w:firstLine="420" w:firstLineChars="200"/>
        <w:jc w:val="left"/>
        <w:rPr>
          <w:rFonts w:ascii="宋体" w:cs="宋体"/>
          <w:color w:val="auto"/>
          <w:kern w:val="0"/>
          <w:szCs w:val="21"/>
          <w:highlight w:val="none"/>
          <w:u w:val="single"/>
        </w:rPr>
      </w:pPr>
      <w:r>
        <w:rPr>
          <w:rFonts w:hint="eastAsia" w:ascii="宋体" w:cs="宋体"/>
          <w:color w:val="auto"/>
          <w:kern w:val="0"/>
          <w:szCs w:val="21"/>
          <w:highlight w:val="none"/>
          <w:u w:val="single"/>
        </w:rPr>
        <w:t>保险事故发生时，投保人应按照保险合同规定的条件和期限及时向保险人报告。发包人和承包人应当在知道保险事故发生后及时通知对方。</w:t>
      </w:r>
    </w:p>
    <w:p w14:paraId="473040DA">
      <w:pPr>
        <w:pStyle w:val="9"/>
        <w:snapToGrid w:val="0"/>
        <w:spacing w:line="420" w:lineRule="exact"/>
        <w:ind w:firstLine="420" w:firstLineChars="200"/>
        <w:rPr>
          <w:rFonts w:ascii="宋体" w:eastAsia="宋体" w:cs="宋体"/>
          <w:b w:val="0"/>
          <w:color w:val="auto"/>
          <w:sz w:val="21"/>
          <w:szCs w:val="21"/>
          <w:highlight w:val="none"/>
        </w:rPr>
      </w:pPr>
      <w:r>
        <w:rPr>
          <w:rFonts w:hint="eastAsia" w:ascii="宋体" w:eastAsia="宋体" w:cs="宋体"/>
          <w:b w:val="0"/>
          <w:color w:val="auto"/>
          <w:sz w:val="21"/>
          <w:szCs w:val="21"/>
          <w:highlight w:val="none"/>
        </w:rPr>
        <w:t>20. 争议解决</w:t>
      </w:r>
    </w:p>
    <w:p w14:paraId="131228D2">
      <w:pPr>
        <w:snapToGrid w:val="0"/>
        <w:spacing w:line="420" w:lineRule="exact"/>
        <w:ind w:firstLine="420" w:firstLineChars="200"/>
        <w:rPr>
          <w:rFonts w:ascii="宋体" w:cs="宋体"/>
          <w:color w:val="auto"/>
          <w:szCs w:val="21"/>
          <w:highlight w:val="none"/>
        </w:rPr>
      </w:pPr>
      <w:r>
        <w:rPr>
          <w:rFonts w:hint="eastAsia" w:ascii="宋体" w:cs="宋体"/>
          <w:color w:val="auto"/>
          <w:szCs w:val="21"/>
          <w:highlight w:val="none"/>
        </w:rPr>
        <w:t>20.3 争议评审</w:t>
      </w:r>
    </w:p>
    <w:p w14:paraId="60DE34F5">
      <w:pPr>
        <w:snapToGrid w:val="0"/>
        <w:spacing w:line="42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合同当事人是否同意将工程争议提交争议评审小组决定：</w:t>
      </w:r>
      <w:r>
        <w:rPr>
          <w:rFonts w:hint="eastAsia" w:ascii="宋体" w:cs="宋体"/>
          <w:color w:val="auto"/>
          <w:szCs w:val="21"/>
          <w:highlight w:val="none"/>
          <w:u w:val="single"/>
        </w:rPr>
        <w:t xml:space="preserve">  不同意   </w:t>
      </w:r>
      <w:r>
        <w:rPr>
          <w:rFonts w:hint="eastAsia" w:ascii="宋体" w:cs="宋体"/>
          <w:color w:val="auto"/>
          <w:szCs w:val="21"/>
          <w:highlight w:val="none"/>
        </w:rPr>
        <w:t xml:space="preserve">。  </w:t>
      </w:r>
    </w:p>
    <w:p w14:paraId="3C1B9B75">
      <w:pPr>
        <w:snapToGrid w:val="0"/>
        <w:spacing w:line="420" w:lineRule="exact"/>
        <w:ind w:firstLine="420" w:firstLineChars="200"/>
        <w:jc w:val="left"/>
        <w:rPr>
          <w:rFonts w:ascii="宋体" w:cs="宋体"/>
          <w:color w:val="auto"/>
          <w:szCs w:val="21"/>
          <w:highlight w:val="none"/>
        </w:rPr>
      </w:pPr>
      <w:r>
        <w:rPr>
          <w:rFonts w:hint="eastAsia" w:ascii="宋体" w:cs="宋体"/>
          <w:color w:val="auto"/>
          <w:szCs w:val="21"/>
          <w:highlight w:val="none"/>
        </w:rPr>
        <w:t>20.3.1 争议评审小组的确定</w:t>
      </w:r>
    </w:p>
    <w:p w14:paraId="7EAAB69C">
      <w:pPr>
        <w:snapToGrid w:val="0"/>
        <w:spacing w:line="42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争议评审小组成员的确定：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5B66EE50">
      <w:pPr>
        <w:snapToGrid w:val="0"/>
        <w:spacing w:line="420" w:lineRule="exact"/>
        <w:ind w:firstLine="420" w:firstLineChars="200"/>
        <w:jc w:val="left"/>
        <w:rPr>
          <w:rFonts w:ascii="宋体" w:cs="宋体"/>
          <w:color w:val="auto"/>
          <w:szCs w:val="21"/>
          <w:highlight w:val="none"/>
        </w:rPr>
      </w:pPr>
      <w:r>
        <w:rPr>
          <w:rFonts w:hint="eastAsia" w:ascii="宋体" w:cs="宋体"/>
          <w:color w:val="auto"/>
          <w:szCs w:val="21"/>
          <w:highlight w:val="none"/>
        </w:rPr>
        <w:t>选定争议评审员的期限：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63619F71">
      <w:pPr>
        <w:snapToGrid w:val="0"/>
        <w:spacing w:line="420" w:lineRule="exact"/>
        <w:ind w:firstLine="420" w:firstLineChars="200"/>
        <w:jc w:val="left"/>
        <w:rPr>
          <w:rFonts w:ascii="宋体" w:cs="宋体"/>
          <w:color w:val="auto"/>
          <w:szCs w:val="21"/>
          <w:highlight w:val="none"/>
        </w:rPr>
      </w:pPr>
      <w:r>
        <w:rPr>
          <w:rFonts w:hint="eastAsia" w:ascii="宋体" w:cs="宋体"/>
          <w:color w:val="auto"/>
          <w:szCs w:val="21"/>
          <w:highlight w:val="none"/>
        </w:rPr>
        <w:t>争议评审小组成员的报酬承担方式：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44189355">
      <w:pPr>
        <w:snapToGrid w:val="0"/>
        <w:spacing w:line="420" w:lineRule="exact"/>
        <w:ind w:firstLine="420" w:firstLineChars="200"/>
        <w:jc w:val="left"/>
        <w:rPr>
          <w:rFonts w:ascii="宋体" w:cs="宋体"/>
          <w:color w:val="auto"/>
          <w:szCs w:val="21"/>
          <w:highlight w:val="none"/>
        </w:rPr>
      </w:pPr>
      <w:r>
        <w:rPr>
          <w:rFonts w:hint="eastAsia" w:ascii="宋体" w:cs="宋体"/>
          <w:color w:val="auto"/>
          <w:szCs w:val="21"/>
          <w:highlight w:val="none"/>
        </w:rPr>
        <w:t>其他事项的约定：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44389B68">
      <w:pPr>
        <w:autoSpaceDE w:val="0"/>
        <w:autoSpaceDN w:val="0"/>
        <w:adjustRightInd w:val="0"/>
        <w:snapToGrid w:val="0"/>
        <w:spacing w:line="42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20.3.2 争议评审小组的决定</w:t>
      </w:r>
    </w:p>
    <w:p w14:paraId="1B8BA221">
      <w:pPr>
        <w:snapToGrid w:val="0"/>
        <w:spacing w:line="420" w:lineRule="exact"/>
        <w:ind w:firstLine="420" w:firstLineChars="200"/>
        <w:jc w:val="left"/>
        <w:rPr>
          <w:rFonts w:ascii="宋体" w:cs="宋体"/>
          <w:color w:val="auto"/>
          <w:szCs w:val="21"/>
          <w:highlight w:val="none"/>
        </w:rPr>
      </w:pPr>
      <w:r>
        <w:rPr>
          <w:rFonts w:hint="eastAsia" w:ascii="宋体" w:cs="宋体"/>
          <w:color w:val="auto"/>
          <w:szCs w:val="21"/>
          <w:highlight w:val="none"/>
        </w:rPr>
        <w:t>合同当事人关于本项的约定：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74CC4B4D">
      <w:pPr>
        <w:autoSpaceDE w:val="0"/>
        <w:autoSpaceDN w:val="0"/>
        <w:adjustRightInd w:val="0"/>
        <w:snapToGrid w:val="0"/>
        <w:spacing w:line="42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20.4仲裁或诉讼</w:t>
      </w:r>
    </w:p>
    <w:p w14:paraId="1FEC55EF">
      <w:pPr>
        <w:autoSpaceDE w:val="0"/>
        <w:autoSpaceDN w:val="0"/>
        <w:adjustRightInd w:val="0"/>
        <w:snapToGrid w:val="0"/>
        <w:spacing w:line="42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因合同及合同有关事项发生的争议，按下列第</w:t>
      </w:r>
      <w:r>
        <w:rPr>
          <w:rFonts w:hint="eastAsia" w:ascii="宋体" w:cs="宋体"/>
          <w:color w:val="auto"/>
          <w:kern w:val="0"/>
          <w:szCs w:val="21"/>
          <w:highlight w:val="none"/>
          <w:u w:val="single"/>
        </w:rPr>
        <w:t xml:space="preserve">   1    </w:t>
      </w:r>
      <w:r>
        <w:rPr>
          <w:rFonts w:hint="eastAsia" w:ascii="宋体" w:cs="宋体"/>
          <w:color w:val="auto"/>
          <w:kern w:val="0"/>
          <w:szCs w:val="21"/>
          <w:highlight w:val="none"/>
        </w:rPr>
        <w:t>种方式解决：</w:t>
      </w:r>
    </w:p>
    <w:p w14:paraId="752862E9">
      <w:pPr>
        <w:numPr>
          <w:ilvl w:val="0"/>
          <w:numId w:val="7"/>
        </w:numPr>
        <w:autoSpaceDE w:val="0"/>
        <w:autoSpaceDN w:val="0"/>
        <w:adjustRightInd w:val="0"/>
        <w:snapToGrid w:val="0"/>
        <w:spacing w:line="420" w:lineRule="exact"/>
        <w:ind w:left="317"/>
        <w:rPr>
          <w:rFonts w:ascii="宋体" w:cs="宋体"/>
          <w:color w:val="auto"/>
          <w:kern w:val="0"/>
          <w:szCs w:val="21"/>
          <w:highlight w:val="none"/>
        </w:rPr>
      </w:pPr>
      <w:r>
        <w:rPr>
          <w:rFonts w:hint="eastAsia" w:ascii="宋体" w:cs="宋体"/>
          <w:color w:val="auto"/>
          <w:kern w:val="0"/>
          <w:szCs w:val="21"/>
          <w:highlight w:val="none"/>
        </w:rPr>
        <w:t>向</w:t>
      </w:r>
      <w:r>
        <w:rPr>
          <w:rFonts w:hint="eastAsia" w:ascii="宋体" w:cs="宋体"/>
          <w:color w:val="auto"/>
          <w:kern w:val="0"/>
          <w:szCs w:val="21"/>
          <w:highlight w:val="none"/>
          <w:u w:val="single"/>
        </w:rPr>
        <w:t xml:space="preserve">    滁州   </w:t>
      </w:r>
      <w:r>
        <w:rPr>
          <w:rFonts w:hint="eastAsia" w:ascii="宋体" w:cs="宋体"/>
          <w:color w:val="auto"/>
          <w:kern w:val="0"/>
          <w:szCs w:val="21"/>
          <w:highlight w:val="none"/>
        </w:rPr>
        <w:t>仲裁委员会申请仲裁；</w:t>
      </w:r>
    </w:p>
    <w:p w14:paraId="0C461380">
      <w:pPr>
        <w:numPr>
          <w:ilvl w:val="0"/>
          <w:numId w:val="7"/>
        </w:numPr>
        <w:autoSpaceDE w:val="0"/>
        <w:autoSpaceDN w:val="0"/>
        <w:adjustRightInd w:val="0"/>
        <w:snapToGrid w:val="0"/>
        <w:spacing w:line="420" w:lineRule="exact"/>
        <w:ind w:left="317"/>
        <w:rPr>
          <w:rFonts w:ascii="宋体" w:cs="宋体"/>
          <w:color w:val="auto"/>
          <w:kern w:val="0"/>
          <w:szCs w:val="21"/>
          <w:highlight w:val="none"/>
        </w:rPr>
      </w:pPr>
      <w:r>
        <w:rPr>
          <w:rFonts w:hint="eastAsia" w:ascii="宋体" w:cs="宋体"/>
          <w:color w:val="auto"/>
          <w:kern w:val="0"/>
          <w:szCs w:val="21"/>
          <w:highlight w:val="none"/>
        </w:rPr>
        <w:t>向</w:t>
      </w:r>
      <w:r>
        <w:rPr>
          <w:rFonts w:hint="eastAsia" w:ascii="宋体" w:hAnsi="宋体" w:cs="宋体"/>
          <w:color w:val="auto"/>
          <w:szCs w:val="21"/>
          <w:highlight w:val="none"/>
          <w:u w:val="single"/>
        </w:rPr>
        <w:t>工程所在地</w:t>
      </w:r>
      <w:r>
        <w:rPr>
          <w:rFonts w:hint="eastAsia" w:ascii="宋体" w:cs="宋体"/>
          <w:color w:val="auto"/>
          <w:kern w:val="0"/>
          <w:szCs w:val="21"/>
          <w:highlight w:val="none"/>
        </w:rPr>
        <w:t>人民法院起诉。</w:t>
      </w:r>
    </w:p>
    <w:bookmarkEnd w:id="861"/>
    <w:bookmarkEnd w:id="862"/>
    <w:bookmarkEnd w:id="863"/>
    <w:bookmarkEnd w:id="864"/>
    <w:bookmarkEnd w:id="893"/>
    <w:bookmarkEnd w:id="894"/>
    <w:p w14:paraId="0B4B6E3A">
      <w:pPr>
        <w:rPr>
          <w:rFonts w:hint="eastAsia" w:ascii="宋体" w:hAnsi="宋体" w:cs="宋体"/>
          <w:bCs/>
          <w:color w:val="auto"/>
          <w:sz w:val="24"/>
          <w:highlight w:val="none"/>
        </w:rPr>
      </w:pPr>
      <w:bookmarkStart w:id="895" w:name="_Toc95223487"/>
      <w:bookmarkStart w:id="896" w:name="_Toc144974855"/>
      <w:bookmarkStart w:id="897" w:name="_Toc324404888"/>
      <w:bookmarkStart w:id="898" w:name="_Toc247085872"/>
      <w:bookmarkStart w:id="899" w:name="_Toc246997097"/>
      <w:bookmarkStart w:id="900" w:name="_Toc179632806"/>
      <w:bookmarkStart w:id="901" w:name="_Toc152045786"/>
      <w:bookmarkStart w:id="902" w:name="_Toc506107340"/>
      <w:bookmarkStart w:id="903" w:name="_Toc35424970"/>
      <w:bookmarkStart w:id="904" w:name="_Toc78803398"/>
      <w:bookmarkStart w:id="905" w:name="_Toc35425136"/>
      <w:bookmarkStart w:id="906" w:name="_Toc246996354"/>
      <w:bookmarkStart w:id="907" w:name="_Toc15058934"/>
      <w:bookmarkStart w:id="908" w:name="_Toc152042575"/>
      <w:r>
        <w:rPr>
          <w:rFonts w:hint="eastAsia" w:ascii="宋体" w:hAnsi="宋体" w:cs="宋体"/>
          <w:bCs/>
          <w:color w:val="auto"/>
          <w:sz w:val="24"/>
          <w:highlight w:val="none"/>
        </w:rPr>
        <w:br w:type="page"/>
      </w:r>
    </w:p>
    <w:p w14:paraId="0707348A">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909" w:name="_Toc296944564"/>
      <w:bookmarkStart w:id="910" w:name="_Toc267261692"/>
      <w:bookmarkStart w:id="911" w:name="_Toc296346726"/>
      <w:bookmarkStart w:id="912" w:name="_Toc296347224"/>
      <w:bookmarkStart w:id="913" w:name="_Toc296891265"/>
      <w:bookmarkStart w:id="914" w:name="_Toc296503225"/>
      <w:bookmarkStart w:id="915" w:name="_Toc296891053"/>
      <w:r>
        <w:rPr>
          <w:rFonts w:hint="eastAsia" w:ascii="宋体" w:hAnsi="宋体" w:cs="宋体"/>
          <w:bCs/>
          <w:color w:val="auto"/>
          <w:sz w:val="24"/>
          <w:highlight w:val="none"/>
        </w:rPr>
        <w:t>件1：发包人供应材料设备一览表</w:t>
      </w:r>
      <w:bookmarkEnd w:id="895"/>
    </w:p>
    <w:bookmarkEnd w:id="909"/>
    <w:bookmarkEnd w:id="910"/>
    <w:bookmarkEnd w:id="911"/>
    <w:bookmarkEnd w:id="912"/>
    <w:bookmarkEnd w:id="913"/>
    <w:bookmarkEnd w:id="914"/>
    <w:bookmarkEnd w:id="915"/>
    <w:p w14:paraId="3F6F1ACA">
      <w:pPr>
        <w:spacing w:line="360" w:lineRule="auto"/>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发包人供应材料设备一览表</w:t>
      </w:r>
    </w:p>
    <w:tbl>
      <w:tblPr>
        <w:tblStyle w:val="47"/>
        <w:tblW w:w="96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082"/>
        <w:gridCol w:w="940"/>
        <w:gridCol w:w="851"/>
        <w:gridCol w:w="1044"/>
        <w:gridCol w:w="992"/>
        <w:gridCol w:w="851"/>
        <w:gridCol w:w="966"/>
        <w:gridCol w:w="803"/>
      </w:tblGrid>
      <w:tr w14:paraId="59A41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single" w:color="auto" w:sz="12" w:space="0"/>
              <w:bottom w:val="double" w:color="auto" w:sz="6" w:space="0"/>
            </w:tcBorders>
            <w:vAlign w:val="center"/>
          </w:tcPr>
          <w:p w14:paraId="1FBEAB1B">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序号</w:t>
            </w:r>
          </w:p>
        </w:tc>
        <w:tc>
          <w:tcPr>
            <w:tcW w:w="1276" w:type="dxa"/>
            <w:tcBorders>
              <w:top w:val="single" w:color="auto" w:sz="12" w:space="0"/>
              <w:bottom w:val="double" w:color="auto" w:sz="6" w:space="0"/>
            </w:tcBorders>
            <w:vAlign w:val="center"/>
          </w:tcPr>
          <w:p w14:paraId="0C9357DB">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材料、设备品种</w:t>
            </w:r>
          </w:p>
        </w:tc>
        <w:tc>
          <w:tcPr>
            <w:tcW w:w="1082" w:type="dxa"/>
            <w:tcBorders>
              <w:top w:val="single" w:color="auto" w:sz="12" w:space="0"/>
              <w:bottom w:val="double" w:color="auto" w:sz="6" w:space="0"/>
            </w:tcBorders>
            <w:vAlign w:val="center"/>
          </w:tcPr>
          <w:p w14:paraId="3083DDA8">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规格型号</w:t>
            </w:r>
          </w:p>
        </w:tc>
        <w:tc>
          <w:tcPr>
            <w:tcW w:w="940" w:type="dxa"/>
            <w:tcBorders>
              <w:top w:val="single" w:color="auto" w:sz="12" w:space="0"/>
              <w:bottom w:val="double" w:color="auto" w:sz="6" w:space="0"/>
            </w:tcBorders>
            <w:vAlign w:val="center"/>
          </w:tcPr>
          <w:p w14:paraId="0C1CC55F">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单位</w:t>
            </w:r>
          </w:p>
        </w:tc>
        <w:tc>
          <w:tcPr>
            <w:tcW w:w="851" w:type="dxa"/>
            <w:tcBorders>
              <w:top w:val="single" w:color="auto" w:sz="12" w:space="0"/>
              <w:bottom w:val="double" w:color="auto" w:sz="6" w:space="0"/>
            </w:tcBorders>
            <w:vAlign w:val="center"/>
          </w:tcPr>
          <w:p w14:paraId="48A99132">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数量</w:t>
            </w:r>
          </w:p>
        </w:tc>
        <w:tc>
          <w:tcPr>
            <w:tcW w:w="1044" w:type="dxa"/>
            <w:tcBorders>
              <w:top w:val="single" w:color="auto" w:sz="12" w:space="0"/>
              <w:bottom w:val="double" w:color="auto" w:sz="6" w:space="0"/>
            </w:tcBorders>
            <w:vAlign w:val="center"/>
          </w:tcPr>
          <w:p w14:paraId="6AD4B94C">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单价（元）</w:t>
            </w:r>
          </w:p>
        </w:tc>
        <w:tc>
          <w:tcPr>
            <w:tcW w:w="992" w:type="dxa"/>
            <w:tcBorders>
              <w:top w:val="single" w:color="auto" w:sz="12" w:space="0"/>
              <w:bottom w:val="double" w:color="auto" w:sz="6" w:space="0"/>
            </w:tcBorders>
            <w:vAlign w:val="center"/>
          </w:tcPr>
          <w:p w14:paraId="6EB3C59E">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质量等级</w:t>
            </w:r>
          </w:p>
        </w:tc>
        <w:tc>
          <w:tcPr>
            <w:tcW w:w="851" w:type="dxa"/>
            <w:tcBorders>
              <w:top w:val="single" w:color="auto" w:sz="12" w:space="0"/>
              <w:bottom w:val="double" w:color="auto" w:sz="6" w:space="0"/>
            </w:tcBorders>
            <w:vAlign w:val="center"/>
          </w:tcPr>
          <w:p w14:paraId="7E18534C">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供应时间</w:t>
            </w:r>
          </w:p>
        </w:tc>
        <w:tc>
          <w:tcPr>
            <w:tcW w:w="966" w:type="dxa"/>
            <w:tcBorders>
              <w:top w:val="single" w:color="auto" w:sz="12" w:space="0"/>
              <w:bottom w:val="double" w:color="auto" w:sz="6" w:space="0"/>
            </w:tcBorders>
            <w:vAlign w:val="center"/>
          </w:tcPr>
          <w:p w14:paraId="01B34D10">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送达地点</w:t>
            </w:r>
          </w:p>
        </w:tc>
        <w:tc>
          <w:tcPr>
            <w:tcW w:w="803" w:type="dxa"/>
            <w:tcBorders>
              <w:top w:val="single" w:color="auto" w:sz="12" w:space="0"/>
              <w:bottom w:val="double" w:color="auto" w:sz="6" w:space="0"/>
            </w:tcBorders>
            <w:vAlign w:val="center"/>
          </w:tcPr>
          <w:p w14:paraId="30176A85">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备注</w:t>
            </w:r>
          </w:p>
        </w:tc>
      </w:tr>
      <w:tr w14:paraId="7759A9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top w:val="double" w:color="auto" w:sz="6" w:space="0"/>
            </w:tcBorders>
            <w:vAlign w:val="center"/>
          </w:tcPr>
          <w:p w14:paraId="31EBA392">
            <w:pPr>
              <w:keepNext/>
              <w:snapToGrid w:val="0"/>
              <w:spacing w:line="360" w:lineRule="auto"/>
              <w:rPr>
                <w:rFonts w:hint="eastAsia" w:ascii="宋体" w:hAnsi="宋体" w:cs="宋体"/>
                <w:color w:val="auto"/>
                <w:sz w:val="22"/>
                <w:szCs w:val="21"/>
                <w:highlight w:val="none"/>
              </w:rPr>
            </w:pPr>
          </w:p>
        </w:tc>
        <w:tc>
          <w:tcPr>
            <w:tcW w:w="1276" w:type="dxa"/>
            <w:tcBorders>
              <w:top w:val="double" w:color="auto" w:sz="6" w:space="0"/>
            </w:tcBorders>
            <w:vAlign w:val="center"/>
          </w:tcPr>
          <w:p w14:paraId="751B9BD0">
            <w:pPr>
              <w:keepNext/>
              <w:snapToGrid w:val="0"/>
              <w:spacing w:line="360" w:lineRule="auto"/>
              <w:rPr>
                <w:rFonts w:hint="eastAsia" w:ascii="宋体" w:hAnsi="宋体" w:cs="宋体"/>
                <w:color w:val="auto"/>
                <w:sz w:val="22"/>
                <w:szCs w:val="21"/>
                <w:highlight w:val="none"/>
              </w:rPr>
            </w:pPr>
          </w:p>
        </w:tc>
        <w:tc>
          <w:tcPr>
            <w:tcW w:w="1082" w:type="dxa"/>
            <w:tcBorders>
              <w:top w:val="double" w:color="auto" w:sz="6" w:space="0"/>
            </w:tcBorders>
            <w:vAlign w:val="center"/>
          </w:tcPr>
          <w:p w14:paraId="7E6BA53A">
            <w:pPr>
              <w:keepNext/>
              <w:snapToGrid w:val="0"/>
              <w:spacing w:line="360" w:lineRule="auto"/>
              <w:rPr>
                <w:rFonts w:hint="eastAsia" w:ascii="宋体" w:hAnsi="宋体" w:cs="宋体"/>
                <w:color w:val="auto"/>
                <w:sz w:val="22"/>
                <w:szCs w:val="21"/>
                <w:highlight w:val="none"/>
              </w:rPr>
            </w:pPr>
          </w:p>
        </w:tc>
        <w:tc>
          <w:tcPr>
            <w:tcW w:w="940" w:type="dxa"/>
            <w:tcBorders>
              <w:top w:val="double" w:color="auto" w:sz="6" w:space="0"/>
            </w:tcBorders>
            <w:vAlign w:val="center"/>
          </w:tcPr>
          <w:p w14:paraId="4A46ACD9">
            <w:pPr>
              <w:keepNext/>
              <w:snapToGrid w:val="0"/>
              <w:spacing w:line="360" w:lineRule="auto"/>
              <w:rPr>
                <w:rFonts w:hint="eastAsia" w:ascii="宋体" w:hAnsi="宋体" w:cs="宋体"/>
                <w:color w:val="auto"/>
                <w:sz w:val="22"/>
                <w:szCs w:val="21"/>
                <w:highlight w:val="none"/>
              </w:rPr>
            </w:pPr>
          </w:p>
        </w:tc>
        <w:tc>
          <w:tcPr>
            <w:tcW w:w="851" w:type="dxa"/>
            <w:tcBorders>
              <w:top w:val="double" w:color="auto" w:sz="6" w:space="0"/>
            </w:tcBorders>
            <w:vAlign w:val="center"/>
          </w:tcPr>
          <w:p w14:paraId="355C479F">
            <w:pPr>
              <w:keepNext/>
              <w:snapToGrid w:val="0"/>
              <w:spacing w:line="360" w:lineRule="auto"/>
              <w:rPr>
                <w:rFonts w:hint="eastAsia" w:ascii="宋体" w:hAnsi="宋体" w:cs="宋体"/>
                <w:color w:val="auto"/>
                <w:sz w:val="22"/>
                <w:szCs w:val="21"/>
                <w:highlight w:val="none"/>
              </w:rPr>
            </w:pPr>
          </w:p>
        </w:tc>
        <w:tc>
          <w:tcPr>
            <w:tcW w:w="1044" w:type="dxa"/>
            <w:tcBorders>
              <w:top w:val="double" w:color="auto" w:sz="6" w:space="0"/>
            </w:tcBorders>
            <w:vAlign w:val="center"/>
          </w:tcPr>
          <w:p w14:paraId="22AD1C87">
            <w:pPr>
              <w:keepNext/>
              <w:snapToGrid w:val="0"/>
              <w:spacing w:line="360" w:lineRule="auto"/>
              <w:rPr>
                <w:rFonts w:hint="eastAsia" w:ascii="宋体" w:hAnsi="宋体" w:cs="宋体"/>
                <w:color w:val="auto"/>
                <w:sz w:val="22"/>
                <w:szCs w:val="21"/>
                <w:highlight w:val="none"/>
              </w:rPr>
            </w:pPr>
          </w:p>
        </w:tc>
        <w:tc>
          <w:tcPr>
            <w:tcW w:w="992" w:type="dxa"/>
            <w:tcBorders>
              <w:top w:val="double" w:color="auto" w:sz="6" w:space="0"/>
            </w:tcBorders>
            <w:vAlign w:val="center"/>
          </w:tcPr>
          <w:p w14:paraId="19B802FD">
            <w:pPr>
              <w:keepNext/>
              <w:snapToGrid w:val="0"/>
              <w:spacing w:line="360" w:lineRule="auto"/>
              <w:rPr>
                <w:rFonts w:hint="eastAsia" w:ascii="宋体" w:hAnsi="宋体" w:cs="宋体"/>
                <w:color w:val="auto"/>
                <w:sz w:val="22"/>
                <w:szCs w:val="21"/>
                <w:highlight w:val="none"/>
              </w:rPr>
            </w:pPr>
          </w:p>
        </w:tc>
        <w:tc>
          <w:tcPr>
            <w:tcW w:w="851" w:type="dxa"/>
            <w:tcBorders>
              <w:top w:val="double" w:color="auto" w:sz="6" w:space="0"/>
            </w:tcBorders>
            <w:vAlign w:val="center"/>
          </w:tcPr>
          <w:p w14:paraId="18FAA516">
            <w:pPr>
              <w:keepNext/>
              <w:snapToGrid w:val="0"/>
              <w:spacing w:line="360" w:lineRule="auto"/>
              <w:rPr>
                <w:rFonts w:hint="eastAsia" w:ascii="宋体" w:hAnsi="宋体" w:cs="宋体"/>
                <w:color w:val="auto"/>
                <w:sz w:val="22"/>
                <w:szCs w:val="21"/>
                <w:highlight w:val="none"/>
              </w:rPr>
            </w:pPr>
          </w:p>
        </w:tc>
        <w:tc>
          <w:tcPr>
            <w:tcW w:w="966" w:type="dxa"/>
            <w:tcBorders>
              <w:top w:val="double" w:color="auto" w:sz="6" w:space="0"/>
            </w:tcBorders>
            <w:vAlign w:val="center"/>
          </w:tcPr>
          <w:p w14:paraId="6ED87C68">
            <w:pPr>
              <w:keepNext/>
              <w:snapToGrid w:val="0"/>
              <w:spacing w:line="360" w:lineRule="auto"/>
              <w:rPr>
                <w:rFonts w:hint="eastAsia" w:ascii="宋体" w:hAnsi="宋体" w:cs="宋体"/>
                <w:color w:val="auto"/>
                <w:sz w:val="22"/>
                <w:szCs w:val="21"/>
                <w:highlight w:val="none"/>
              </w:rPr>
            </w:pPr>
          </w:p>
        </w:tc>
        <w:tc>
          <w:tcPr>
            <w:tcW w:w="803" w:type="dxa"/>
            <w:tcBorders>
              <w:top w:val="double" w:color="auto" w:sz="6" w:space="0"/>
            </w:tcBorders>
            <w:vAlign w:val="center"/>
          </w:tcPr>
          <w:p w14:paraId="0B7FEBF9">
            <w:pPr>
              <w:keepNext/>
              <w:snapToGrid w:val="0"/>
              <w:spacing w:line="360" w:lineRule="auto"/>
              <w:rPr>
                <w:rFonts w:hint="eastAsia" w:ascii="宋体" w:hAnsi="宋体" w:cs="宋体"/>
                <w:color w:val="auto"/>
                <w:sz w:val="22"/>
                <w:szCs w:val="21"/>
                <w:highlight w:val="none"/>
              </w:rPr>
            </w:pPr>
          </w:p>
        </w:tc>
      </w:tr>
      <w:tr w14:paraId="2C476B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vAlign w:val="center"/>
          </w:tcPr>
          <w:p w14:paraId="2073D4FC">
            <w:pPr>
              <w:snapToGrid w:val="0"/>
              <w:spacing w:line="360" w:lineRule="auto"/>
              <w:rPr>
                <w:rFonts w:hint="eastAsia" w:ascii="宋体" w:hAnsi="宋体" w:cs="宋体"/>
                <w:color w:val="auto"/>
                <w:sz w:val="22"/>
                <w:szCs w:val="21"/>
                <w:highlight w:val="none"/>
              </w:rPr>
            </w:pPr>
          </w:p>
        </w:tc>
        <w:tc>
          <w:tcPr>
            <w:tcW w:w="1276" w:type="dxa"/>
            <w:vAlign w:val="center"/>
          </w:tcPr>
          <w:p w14:paraId="17FBE1B6">
            <w:pPr>
              <w:snapToGrid w:val="0"/>
              <w:spacing w:line="360" w:lineRule="auto"/>
              <w:rPr>
                <w:rFonts w:hint="eastAsia" w:ascii="宋体" w:hAnsi="宋体" w:cs="宋体"/>
                <w:color w:val="auto"/>
                <w:sz w:val="22"/>
                <w:szCs w:val="21"/>
                <w:highlight w:val="none"/>
              </w:rPr>
            </w:pPr>
          </w:p>
        </w:tc>
        <w:tc>
          <w:tcPr>
            <w:tcW w:w="1082" w:type="dxa"/>
            <w:vAlign w:val="center"/>
          </w:tcPr>
          <w:p w14:paraId="6B668A96">
            <w:pPr>
              <w:snapToGrid w:val="0"/>
              <w:spacing w:line="360" w:lineRule="auto"/>
              <w:rPr>
                <w:rFonts w:hint="eastAsia" w:ascii="宋体" w:hAnsi="宋体" w:cs="宋体"/>
                <w:color w:val="auto"/>
                <w:sz w:val="22"/>
                <w:szCs w:val="21"/>
                <w:highlight w:val="none"/>
              </w:rPr>
            </w:pPr>
          </w:p>
        </w:tc>
        <w:tc>
          <w:tcPr>
            <w:tcW w:w="940" w:type="dxa"/>
            <w:vAlign w:val="center"/>
          </w:tcPr>
          <w:p w14:paraId="4D0EE4D9">
            <w:pPr>
              <w:snapToGrid w:val="0"/>
              <w:spacing w:line="360" w:lineRule="auto"/>
              <w:rPr>
                <w:rFonts w:hint="eastAsia" w:ascii="宋体" w:hAnsi="宋体" w:cs="宋体"/>
                <w:color w:val="auto"/>
                <w:sz w:val="22"/>
                <w:szCs w:val="21"/>
                <w:highlight w:val="none"/>
              </w:rPr>
            </w:pPr>
          </w:p>
        </w:tc>
        <w:tc>
          <w:tcPr>
            <w:tcW w:w="851" w:type="dxa"/>
            <w:vAlign w:val="center"/>
          </w:tcPr>
          <w:p w14:paraId="7DF23E67">
            <w:pPr>
              <w:snapToGrid w:val="0"/>
              <w:spacing w:line="360" w:lineRule="auto"/>
              <w:rPr>
                <w:rFonts w:hint="eastAsia" w:ascii="宋体" w:hAnsi="宋体" w:cs="宋体"/>
                <w:color w:val="auto"/>
                <w:sz w:val="22"/>
                <w:szCs w:val="21"/>
                <w:highlight w:val="none"/>
              </w:rPr>
            </w:pPr>
          </w:p>
        </w:tc>
        <w:tc>
          <w:tcPr>
            <w:tcW w:w="1044" w:type="dxa"/>
            <w:vAlign w:val="center"/>
          </w:tcPr>
          <w:p w14:paraId="08999ACD">
            <w:pPr>
              <w:snapToGrid w:val="0"/>
              <w:spacing w:line="360" w:lineRule="auto"/>
              <w:rPr>
                <w:rFonts w:hint="eastAsia" w:ascii="宋体" w:hAnsi="宋体" w:cs="宋体"/>
                <w:color w:val="auto"/>
                <w:sz w:val="22"/>
                <w:szCs w:val="21"/>
                <w:highlight w:val="none"/>
              </w:rPr>
            </w:pPr>
          </w:p>
        </w:tc>
        <w:tc>
          <w:tcPr>
            <w:tcW w:w="992" w:type="dxa"/>
            <w:vAlign w:val="center"/>
          </w:tcPr>
          <w:p w14:paraId="4AE99518">
            <w:pPr>
              <w:snapToGrid w:val="0"/>
              <w:spacing w:line="360" w:lineRule="auto"/>
              <w:rPr>
                <w:rFonts w:hint="eastAsia" w:ascii="宋体" w:hAnsi="宋体" w:cs="宋体"/>
                <w:color w:val="auto"/>
                <w:sz w:val="22"/>
                <w:szCs w:val="21"/>
                <w:highlight w:val="none"/>
              </w:rPr>
            </w:pPr>
          </w:p>
        </w:tc>
        <w:tc>
          <w:tcPr>
            <w:tcW w:w="851" w:type="dxa"/>
            <w:vAlign w:val="center"/>
          </w:tcPr>
          <w:p w14:paraId="33106444">
            <w:pPr>
              <w:snapToGrid w:val="0"/>
              <w:spacing w:line="360" w:lineRule="auto"/>
              <w:rPr>
                <w:rFonts w:hint="eastAsia" w:ascii="宋体" w:hAnsi="宋体" w:cs="宋体"/>
                <w:color w:val="auto"/>
                <w:sz w:val="22"/>
                <w:szCs w:val="21"/>
                <w:highlight w:val="none"/>
              </w:rPr>
            </w:pPr>
          </w:p>
        </w:tc>
        <w:tc>
          <w:tcPr>
            <w:tcW w:w="966" w:type="dxa"/>
            <w:vAlign w:val="center"/>
          </w:tcPr>
          <w:p w14:paraId="0F60AC3D">
            <w:pPr>
              <w:snapToGrid w:val="0"/>
              <w:spacing w:line="360" w:lineRule="auto"/>
              <w:rPr>
                <w:rFonts w:hint="eastAsia" w:ascii="宋体" w:hAnsi="宋体" w:cs="宋体"/>
                <w:color w:val="auto"/>
                <w:sz w:val="22"/>
                <w:szCs w:val="21"/>
                <w:highlight w:val="none"/>
              </w:rPr>
            </w:pPr>
          </w:p>
        </w:tc>
        <w:tc>
          <w:tcPr>
            <w:tcW w:w="803" w:type="dxa"/>
            <w:vAlign w:val="center"/>
          </w:tcPr>
          <w:p w14:paraId="4F681BE2">
            <w:pPr>
              <w:snapToGrid w:val="0"/>
              <w:spacing w:line="360" w:lineRule="auto"/>
              <w:rPr>
                <w:rFonts w:hint="eastAsia" w:ascii="宋体" w:hAnsi="宋体" w:cs="宋体"/>
                <w:color w:val="auto"/>
                <w:sz w:val="22"/>
                <w:szCs w:val="21"/>
                <w:highlight w:val="none"/>
              </w:rPr>
            </w:pPr>
          </w:p>
        </w:tc>
      </w:tr>
      <w:tr w14:paraId="50221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bottom w:val="single" w:color="auto" w:sz="12" w:space="0"/>
            </w:tcBorders>
            <w:vAlign w:val="center"/>
          </w:tcPr>
          <w:p w14:paraId="27E53D20">
            <w:pPr>
              <w:snapToGrid w:val="0"/>
              <w:spacing w:line="360" w:lineRule="auto"/>
              <w:rPr>
                <w:rFonts w:hint="eastAsia" w:ascii="宋体" w:hAnsi="宋体" w:cs="宋体"/>
                <w:color w:val="auto"/>
                <w:sz w:val="22"/>
                <w:szCs w:val="21"/>
                <w:highlight w:val="none"/>
              </w:rPr>
            </w:pPr>
          </w:p>
        </w:tc>
        <w:tc>
          <w:tcPr>
            <w:tcW w:w="1276" w:type="dxa"/>
            <w:tcBorders>
              <w:bottom w:val="single" w:color="auto" w:sz="12" w:space="0"/>
            </w:tcBorders>
            <w:vAlign w:val="center"/>
          </w:tcPr>
          <w:p w14:paraId="63013487">
            <w:pPr>
              <w:snapToGrid w:val="0"/>
              <w:spacing w:line="360" w:lineRule="auto"/>
              <w:rPr>
                <w:rFonts w:hint="eastAsia" w:ascii="宋体" w:hAnsi="宋体" w:cs="宋体"/>
                <w:color w:val="auto"/>
                <w:sz w:val="22"/>
                <w:szCs w:val="21"/>
                <w:highlight w:val="none"/>
              </w:rPr>
            </w:pPr>
          </w:p>
        </w:tc>
        <w:tc>
          <w:tcPr>
            <w:tcW w:w="1082" w:type="dxa"/>
            <w:tcBorders>
              <w:bottom w:val="single" w:color="auto" w:sz="12" w:space="0"/>
            </w:tcBorders>
            <w:vAlign w:val="center"/>
          </w:tcPr>
          <w:p w14:paraId="151D10FE">
            <w:pPr>
              <w:snapToGrid w:val="0"/>
              <w:spacing w:line="360" w:lineRule="auto"/>
              <w:rPr>
                <w:rFonts w:hint="eastAsia" w:ascii="宋体" w:hAnsi="宋体" w:cs="宋体"/>
                <w:color w:val="auto"/>
                <w:sz w:val="22"/>
                <w:szCs w:val="21"/>
                <w:highlight w:val="none"/>
              </w:rPr>
            </w:pPr>
          </w:p>
        </w:tc>
        <w:tc>
          <w:tcPr>
            <w:tcW w:w="940" w:type="dxa"/>
            <w:tcBorders>
              <w:bottom w:val="single" w:color="auto" w:sz="12" w:space="0"/>
            </w:tcBorders>
            <w:vAlign w:val="center"/>
          </w:tcPr>
          <w:p w14:paraId="6ED155F3">
            <w:pPr>
              <w:snapToGrid w:val="0"/>
              <w:spacing w:line="360" w:lineRule="auto"/>
              <w:rPr>
                <w:rFonts w:hint="eastAsia" w:ascii="宋体" w:hAnsi="宋体" w:cs="宋体"/>
                <w:color w:val="auto"/>
                <w:sz w:val="22"/>
                <w:szCs w:val="21"/>
                <w:highlight w:val="none"/>
              </w:rPr>
            </w:pPr>
          </w:p>
        </w:tc>
        <w:tc>
          <w:tcPr>
            <w:tcW w:w="851" w:type="dxa"/>
            <w:tcBorders>
              <w:bottom w:val="single" w:color="auto" w:sz="12" w:space="0"/>
            </w:tcBorders>
            <w:vAlign w:val="center"/>
          </w:tcPr>
          <w:p w14:paraId="6710809F">
            <w:pPr>
              <w:snapToGrid w:val="0"/>
              <w:spacing w:line="360" w:lineRule="auto"/>
              <w:rPr>
                <w:rFonts w:hint="eastAsia" w:ascii="宋体" w:hAnsi="宋体" w:cs="宋体"/>
                <w:color w:val="auto"/>
                <w:sz w:val="22"/>
                <w:szCs w:val="21"/>
                <w:highlight w:val="none"/>
              </w:rPr>
            </w:pPr>
          </w:p>
        </w:tc>
        <w:tc>
          <w:tcPr>
            <w:tcW w:w="1044" w:type="dxa"/>
            <w:tcBorders>
              <w:bottom w:val="single" w:color="auto" w:sz="12" w:space="0"/>
            </w:tcBorders>
            <w:vAlign w:val="center"/>
          </w:tcPr>
          <w:p w14:paraId="1006B9E4">
            <w:pPr>
              <w:snapToGrid w:val="0"/>
              <w:spacing w:line="360" w:lineRule="auto"/>
              <w:rPr>
                <w:rFonts w:hint="eastAsia" w:ascii="宋体" w:hAnsi="宋体" w:cs="宋体"/>
                <w:color w:val="auto"/>
                <w:sz w:val="22"/>
                <w:szCs w:val="21"/>
                <w:highlight w:val="none"/>
              </w:rPr>
            </w:pPr>
          </w:p>
        </w:tc>
        <w:tc>
          <w:tcPr>
            <w:tcW w:w="992" w:type="dxa"/>
            <w:tcBorders>
              <w:bottom w:val="single" w:color="auto" w:sz="12" w:space="0"/>
            </w:tcBorders>
            <w:vAlign w:val="center"/>
          </w:tcPr>
          <w:p w14:paraId="7BAF5B4A">
            <w:pPr>
              <w:snapToGrid w:val="0"/>
              <w:spacing w:line="360" w:lineRule="auto"/>
              <w:rPr>
                <w:rFonts w:hint="eastAsia" w:ascii="宋体" w:hAnsi="宋体" w:cs="宋体"/>
                <w:color w:val="auto"/>
                <w:sz w:val="22"/>
                <w:szCs w:val="21"/>
                <w:highlight w:val="none"/>
              </w:rPr>
            </w:pPr>
          </w:p>
        </w:tc>
        <w:tc>
          <w:tcPr>
            <w:tcW w:w="851" w:type="dxa"/>
            <w:tcBorders>
              <w:bottom w:val="single" w:color="auto" w:sz="12" w:space="0"/>
            </w:tcBorders>
            <w:vAlign w:val="center"/>
          </w:tcPr>
          <w:p w14:paraId="4596653F">
            <w:pPr>
              <w:snapToGrid w:val="0"/>
              <w:spacing w:line="360" w:lineRule="auto"/>
              <w:rPr>
                <w:rFonts w:hint="eastAsia" w:ascii="宋体" w:hAnsi="宋体" w:cs="宋体"/>
                <w:color w:val="auto"/>
                <w:sz w:val="22"/>
                <w:szCs w:val="21"/>
                <w:highlight w:val="none"/>
              </w:rPr>
            </w:pPr>
          </w:p>
        </w:tc>
        <w:tc>
          <w:tcPr>
            <w:tcW w:w="966" w:type="dxa"/>
            <w:tcBorders>
              <w:bottom w:val="single" w:color="auto" w:sz="12" w:space="0"/>
            </w:tcBorders>
            <w:vAlign w:val="center"/>
          </w:tcPr>
          <w:p w14:paraId="179C6D6D">
            <w:pPr>
              <w:snapToGrid w:val="0"/>
              <w:spacing w:line="360" w:lineRule="auto"/>
              <w:rPr>
                <w:rFonts w:hint="eastAsia" w:ascii="宋体" w:hAnsi="宋体" w:cs="宋体"/>
                <w:color w:val="auto"/>
                <w:sz w:val="22"/>
                <w:szCs w:val="21"/>
                <w:highlight w:val="none"/>
              </w:rPr>
            </w:pPr>
          </w:p>
        </w:tc>
        <w:tc>
          <w:tcPr>
            <w:tcW w:w="803" w:type="dxa"/>
            <w:tcBorders>
              <w:bottom w:val="single" w:color="auto" w:sz="12" w:space="0"/>
            </w:tcBorders>
            <w:vAlign w:val="center"/>
          </w:tcPr>
          <w:p w14:paraId="1CDFD313">
            <w:pPr>
              <w:snapToGrid w:val="0"/>
              <w:spacing w:line="360" w:lineRule="auto"/>
              <w:rPr>
                <w:rFonts w:hint="eastAsia" w:ascii="宋体" w:hAnsi="宋体" w:cs="宋体"/>
                <w:color w:val="auto"/>
                <w:sz w:val="22"/>
                <w:szCs w:val="21"/>
                <w:highlight w:val="none"/>
              </w:rPr>
            </w:pPr>
          </w:p>
        </w:tc>
      </w:tr>
    </w:tbl>
    <w:p w14:paraId="17187E4D">
      <w:pPr>
        <w:pStyle w:val="2"/>
        <w:ind w:firstLine="420"/>
        <w:rPr>
          <w:color w:val="auto"/>
          <w:highlight w:val="none"/>
        </w:rPr>
      </w:pPr>
    </w:p>
    <w:p w14:paraId="0CBF8DA7">
      <w:pPr>
        <w:rPr>
          <w:rFonts w:hint="eastAsia" w:ascii="宋体" w:hAnsi="宋体" w:cs="宋体"/>
          <w:bCs/>
          <w:color w:val="auto"/>
          <w:sz w:val="24"/>
          <w:highlight w:val="none"/>
        </w:rPr>
      </w:pPr>
      <w:bookmarkStart w:id="916" w:name="_Toc95223490"/>
      <w:r>
        <w:rPr>
          <w:rFonts w:hint="eastAsia" w:ascii="宋体" w:hAnsi="宋体" w:cs="宋体"/>
          <w:bCs/>
          <w:color w:val="auto"/>
          <w:sz w:val="24"/>
          <w:highlight w:val="none"/>
        </w:rPr>
        <w:br w:type="page"/>
      </w:r>
    </w:p>
    <w:p w14:paraId="51455791">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917" w:name="_Toc296347225"/>
      <w:bookmarkStart w:id="918" w:name="_Toc296891266"/>
      <w:bookmarkStart w:id="919" w:name="_Toc296503226"/>
      <w:bookmarkStart w:id="920" w:name="_Toc296944565"/>
      <w:bookmarkStart w:id="921" w:name="_Toc296891054"/>
      <w:bookmarkStart w:id="922" w:name="_Toc267261693"/>
      <w:bookmarkStart w:id="923" w:name="_Toc296346727"/>
      <w:r>
        <w:rPr>
          <w:rFonts w:hint="eastAsia" w:ascii="宋体" w:hAnsi="宋体" w:cs="宋体"/>
          <w:bCs/>
          <w:color w:val="auto"/>
          <w:sz w:val="24"/>
          <w:highlight w:val="none"/>
        </w:rPr>
        <w:t>件2：</w:t>
      </w:r>
      <w:bookmarkEnd w:id="917"/>
      <w:bookmarkEnd w:id="918"/>
      <w:bookmarkEnd w:id="919"/>
      <w:bookmarkEnd w:id="920"/>
      <w:bookmarkEnd w:id="921"/>
      <w:bookmarkEnd w:id="922"/>
      <w:bookmarkEnd w:id="923"/>
      <w:r>
        <w:rPr>
          <w:rFonts w:hint="eastAsia" w:ascii="宋体" w:hAnsi="宋体" w:cs="宋体"/>
          <w:bCs/>
          <w:color w:val="auto"/>
          <w:sz w:val="24"/>
          <w:highlight w:val="none"/>
        </w:rPr>
        <w:t>工程质量保修书</w:t>
      </w:r>
    </w:p>
    <w:p w14:paraId="6F01AFD1">
      <w:pPr>
        <w:adjustRightInd w:val="0"/>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工程质量保修书</w:t>
      </w:r>
    </w:p>
    <w:p w14:paraId="4046CE99">
      <w:pPr>
        <w:adjustRightInd w:val="0"/>
        <w:snapToGrid w:val="0"/>
        <w:spacing w:line="360" w:lineRule="auto"/>
        <w:ind w:firstLine="420" w:firstLineChars="200"/>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发包人</w:t>
      </w:r>
      <w:r>
        <w:rPr>
          <w:rFonts w:hint="eastAsia" w:ascii="宋体" w:hAnsi="宋体" w:cs="宋体"/>
          <w:color w:val="auto"/>
          <w:kern w:val="0"/>
          <w:position w:val="14"/>
          <w:szCs w:val="21"/>
          <w:highlight w:val="none"/>
        </w:rPr>
        <w:t>：_______________________________</w:t>
      </w:r>
    </w:p>
    <w:p w14:paraId="6CEE3FC8">
      <w:pPr>
        <w:widowControl/>
        <w:adjustRightInd w:val="0"/>
        <w:snapToGrid w:val="0"/>
        <w:spacing w:line="360" w:lineRule="auto"/>
        <w:ind w:firstLine="420" w:firstLineChars="200"/>
        <w:jc w:val="left"/>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承包人</w:t>
      </w:r>
      <w:r>
        <w:rPr>
          <w:rFonts w:hint="eastAsia" w:ascii="宋体" w:hAnsi="宋体" w:cs="宋体"/>
          <w:color w:val="auto"/>
          <w:kern w:val="0"/>
          <w:position w:val="14"/>
          <w:szCs w:val="21"/>
          <w:highlight w:val="none"/>
        </w:rPr>
        <w:t>：_______________________________</w:t>
      </w:r>
    </w:p>
    <w:p w14:paraId="235E9B1E">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发包人、承包人根据《中华人民共和国建筑法》《建设工程质量管理条例》,参照《房屋建筑工程质量保修办法》，经协商一致，对______________________工程签订工程质量保修书。</w:t>
      </w:r>
    </w:p>
    <w:p w14:paraId="655B0D61">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一、工程质量保修范围和内容</w:t>
      </w:r>
    </w:p>
    <w:p w14:paraId="4C1FBFD4">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承包人在质量保修期内，按照有关法律规定和合同约定，承担本工程质量保修责任。</w:t>
      </w:r>
    </w:p>
    <w:p w14:paraId="15C70CB8">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  合同文件中明确的全部内容（含设计变更及签证以及决算中所含的全部内容）</w:t>
      </w:r>
      <w:r>
        <w:rPr>
          <w:rFonts w:hint="eastAsia" w:ascii="宋体" w:hAnsi="宋体" w:cs="宋体"/>
          <w:bCs/>
          <w:color w:val="auto"/>
          <w:kern w:val="0"/>
          <w:position w:val="6"/>
          <w:szCs w:val="21"/>
          <w:highlight w:val="none"/>
        </w:rPr>
        <w:t>。</w:t>
      </w:r>
    </w:p>
    <w:p w14:paraId="6002D69B">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二、质量保修期</w:t>
      </w:r>
    </w:p>
    <w:p w14:paraId="4411EF7D">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根据《建设工程质量管理条例》及有关规定，工程的质量保修期如下：</w:t>
      </w:r>
    </w:p>
    <w:p w14:paraId="1215422C">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1、地基基础工程和主体结构工程为设计文件规定的工程合理使用年限；</w:t>
      </w:r>
    </w:p>
    <w:p w14:paraId="0914DD44">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2、屋面防水工程、有防水要求的卫生间、房间的外墙面的防渗漏为5年；</w:t>
      </w:r>
    </w:p>
    <w:p w14:paraId="1132AA3E">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3、装修工程为2年；</w:t>
      </w:r>
    </w:p>
    <w:p w14:paraId="6FC9DF0B">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4、电气管线、给排水管道、设备安装工程为2年；</w:t>
      </w:r>
    </w:p>
    <w:p w14:paraId="0D5080D9">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5、供热与供冷系统为2个采暖期、供冷期；</w:t>
      </w:r>
    </w:p>
    <w:p w14:paraId="1A6BE800">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6、给排水设施、道路等配套工程为2年；</w:t>
      </w:r>
    </w:p>
    <w:p w14:paraId="4E02986E">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7. 绿化工程为24 个月；</w:t>
      </w:r>
    </w:p>
    <w:p w14:paraId="7FBD1509">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8. 园林附属工程为24个月；</w:t>
      </w:r>
    </w:p>
    <w:p w14:paraId="154C1609">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9、其他项目保修期限约定如下：</w:t>
      </w:r>
      <w:r>
        <w:rPr>
          <w:rFonts w:hint="eastAsia" w:ascii="宋体" w:hAnsi="宋体" w:cs="宋体"/>
          <w:color w:val="auto"/>
          <w:kern w:val="0"/>
          <w:position w:val="6"/>
          <w:szCs w:val="21"/>
          <w:highlight w:val="none"/>
          <w:u w:val="single"/>
        </w:rPr>
        <w:t xml:space="preserve">    /  </w:t>
      </w:r>
      <w:r>
        <w:rPr>
          <w:rFonts w:hint="eastAsia" w:ascii="宋体" w:hAnsi="宋体" w:cs="宋体"/>
          <w:color w:val="auto"/>
          <w:kern w:val="0"/>
          <w:position w:val="6"/>
          <w:szCs w:val="21"/>
          <w:highlight w:val="none"/>
        </w:rPr>
        <w:t>。</w:t>
      </w:r>
    </w:p>
    <w:p w14:paraId="6C375A1A">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质量保修期自工程竣工验收合格之日起计算。</w:t>
      </w:r>
    </w:p>
    <w:p w14:paraId="08D7F522">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三、缺陷责任期</w:t>
      </w:r>
    </w:p>
    <w:p w14:paraId="5B28D79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12个月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14:paraId="450E8F0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14:paraId="2806A3E9">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color w:val="auto"/>
          <w:szCs w:val="21"/>
          <w:highlight w:val="none"/>
        </w:rPr>
        <w:t>四、质量保修责任</w:t>
      </w:r>
    </w:p>
    <w:p w14:paraId="4440ABB2">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属于保修范围、内容的项目，承包人应当在接到保修通知之日起7天内派人保修。承包人不在约定期限内派人保修的，发包人可以委托他人修理。</w:t>
      </w:r>
    </w:p>
    <w:p w14:paraId="782F909B">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 发生紧急抢修事故的，承包人在接到事故通知后，应当立即到达事故现场抢修。</w:t>
      </w:r>
    </w:p>
    <w:p w14:paraId="758F2534">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 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14:paraId="14E9D5B3">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 质量保修完成后，由发包人组织验收。</w:t>
      </w:r>
    </w:p>
    <w:p w14:paraId="54B909C2">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五、保修费用</w:t>
      </w:r>
    </w:p>
    <w:p w14:paraId="56D487E3">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保修费用由造成质量缺陷的责任方承担。</w:t>
      </w:r>
    </w:p>
    <w:p w14:paraId="56E013EA">
      <w:pPr>
        <w:widowControl/>
        <w:adjustRightInd w:val="0"/>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bCs/>
          <w:color w:val="auto"/>
          <w:kern w:val="0"/>
          <w:position w:val="6"/>
          <w:szCs w:val="21"/>
          <w:highlight w:val="none"/>
        </w:rPr>
        <w:t>六、双方约定的其他工程质量保修事项：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14:paraId="7F4CA4E7">
      <w:pPr>
        <w:widowControl/>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position w:val="6"/>
          <w:szCs w:val="21"/>
          <w:highlight w:val="none"/>
        </w:rPr>
        <w:t>本工程质量保修书，由施工合同发包人、承包人双方在竣工验收前共同签署，作为施工合同附件，其有效期限至保修期满。</w:t>
      </w:r>
    </w:p>
    <w:p w14:paraId="5DF4898A">
      <w:pPr>
        <w:adjustRightInd w:val="0"/>
        <w:snapToGrid w:val="0"/>
        <w:spacing w:line="360" w:lineRule="auto"/>
        <w:ind w:firstLine="420"/>
        <w:rPr>
          <w:rFonts w:hint="eastAsia" w:ascii="宋体" w:hAnsi="宋体" w:cs="宋体"/>
          <w:color w:val="auto"/>
          <w:szCs w:val="21"/>
          <w:highlight w:val="none"/>
        </w:rPr>
      </w:pPr>
    </w:p>
    <w:p w14:paraId="0F147C7F">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14:paraId="6ABEDED3">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w:t>
      </w:r>
    </w:p>
    <w:p w14:paraId="02AB635F">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363D9A8D">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14:paraId="374BA9E6">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504876AD">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3CABE72E">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614B0DA8">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1C648B4F">
      <w:pPr>
        <w:rPr>
          <w:color w:val="auto"/>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3AF1DF8E">
      <w:pPr>
        <w:rPr>
          <w:rFonts w:hint="eastAsia" w:ascii="宋体" w:hAnsi="宋体" w:cs="宋体"/>
          <w:bCs/>
          <w:color w:val="auto"/>
          <w:sz w:val="24"/>
          <w:highlight w:val="none"/>
        </w:rPr>
      </w:pPr>
      <w:r>
        <w:rPr>
          <w:rFonts w:hint="eastAsia" w:ascii="宋体" w:hAnsi="宋体" w:cs="宋体"/>
          <w:bCs/>
          <w:color w:val="auto"/>
          <w:sz w:val="24"/>
          <w:highlight w:val="none"/>
        </w:rPr>
        <w:br w:type="page"/>
      </w:r>
    </w:p>
    <w:p w14:paraId="72246370">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附件3：主要建设工程文件目录</w:t>
      </w:r>
      <w:bookmarkEnd w:id="916"/>
    </w:p>
    <w:p w14:paraId="02967420">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主要建设工程文件目录</w:t>
      </w:r>
    </w:p>
    <w:tbl>
      <w:tblPr>
        <w:tblStyle w:val="4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2D8C69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vAlign w:val="center"/>
          </w:tcPr>
          <w:p w14:paraId="26A46997">
            <w:pPr>
              <w:keepNext/>
              <w:rPr>
                <w:rFonts w:hint="eastAsia" w:ascii="宋体" w:hAnsi="宋体" w:cs="宋体"/>
                <w:color w:val="auto"/>
                <w:szCs w:val="21"/>
                <w:highlight w:val="none"/>
              </w:rPr>
            </w:pPr>
            <w:r>
              <w:rPr>
                <w:rFonts w:hint="eastAsia" w:ascii="宋体" w:hAnsi="宋体" w:cs="宋体"/>
                <w:color w:val="auto"/>
                <w:szCs w:val="21"/>
                <w:highlight w:val="none"/>
              </w:rPr>
              <w:t>文件名称</w:t>
            </w:r>
          </w:p>
        </w:tc>
        <w:tc>
          <w:tcPr>
            <w:tcW w:w="1276" w:type="dxa"/>
            <w:tcBorders>
              <w:top w:val="single" w:color="auto" w:sz="12" w:space="0"/>
              <w:bottom w:val="double" w:color="auto" w:sz="6" w:space="0"/>
            </w:tcBorders>
            <w:vAlign w:val="center"/>
          </w:tcPr>
          <w:p w14:paraId="5DA97936">
            <w:pPr>
              <w:keepNext/>
              <w:rPr>
                <w:rFonts w:hint="eastAsia" w:ascii="宋体" w:hAnsi="宋体" w:cs="宋体"/>
                <w:color w:val="auto"/>
                <w:szCs w:val="21"/>
                <w:highlight w:val="none"/>
              </w:rPr>
            </w:pPr>
            <w:r>
              <w:rPr>
                <w:rFonts w:hint="eastAsia" w:ascii="宋体" w:hAnsi="宋体" w:cs="宋体"/>
                <w:color w:val="auto"/>
                <w:szCs w:val="21"/>
                <w:highlight w:val="none"/>
              </w:rPr>
              <w:t>套数</w:t>
            </w:r>
          </w:p>
        </w:tc>
        <w:tc>
          <w:tcPr>
            <w:tcW w:w="1450" w:type="dxa"/>
            <w:tcBorders>
              <w:top w:val="single" w:color="auto" w:sz="12" w:space="0"/>
              <w:bottom w:val="double" w:color="auto" w:sz="6" w:space="0"/>
            </w:tcBorders>
            <w:vAlign w:val="center"/>
          </w:tcPr>
          <w:p w14:paraId="0627AFE0">
            <w:pPr>
              <w:keepNext/>
              <w:rPr>
                <w:rFonts w:hint="eastAsia" w:ascii="宋体" w:hAnsi="宋体" w:cs="宋体"/>
                <w:color w:val="auto"/>
                <w:szCs w:val="21"/>
                <w:highlight w:val="none"/>
              </w:rPr>
            </w:pPr>
            <w:r>
              <w:rPr>
                <w:rFonts w:hint="eastAsia" w:ascii="宋体" w:hAnsi="宋体" w:cs="宋体"/>
                <w:color w:val="auto"/>
                <w:szCs w:val="21"/>
                <w:highlight w:val="none"/>
              </w:rPr>
              <w:t>费用（元）</w:t>
            </w:r>
          </w:p>
        </w:tc>
        <w:tc>
          <w:tcPr>
            <w:tcW w:w="1243" w:type="dxa"/>
            <w:tcBorders>
              <w:top w:val="single" w:color="auto" w:sz="12" w:space="0"/>
              <w:bottom w:val="double" w:color="auto" w:sz="6" w:space="0"/>
            </w:tcBorders>
            <w:vAlign w:val="center"/>
          </w:tcPr>
          <w:p w14:paraId="34FF84BA">
            <w:pPr>
              <w:keepNext/>
              <w:rPr>
                <w:rFonts w:hint="eastAsia" w:ascii="宋体" w:hAnsi="宋体" w:cs="宋体"/>
                <w:color w:val="auto"/>
                <w:szCs w:val="21"/>
                <w:highlight w:val="none"/>
              </w:rPr>
            </w:pPr>
            <w:r>
              <w:rPr>
                <w:rFonts w:hint="eastAsia" w:ascii="宋体" w:hAnsi="宋体" w:cs="宋体"/>
                <w:color w:val="auto"/>
                <w:szCs w:val="21"/>
                <w:highlight w:val="none"/>
              </w:rPr>
              <w:t>质量</w:t>
            </w:r>
          </w:p>
        </w:tc>
        <w:tc>
          <w:tcPr>
            <w:tcW w:w="1450" w:type="dxa"/>
            <w:tcBorders>
              <w:top w:val="single" w:color="auto" w:sz="12" w:space="0"/>
              <w:bottom w:val="double" w:color="auto" w:sz="6" w:space="0"/>
            </w:tcBorders>
          </w:tcPr>
          <w:p w14:paraId="52971485">
            <w:pPr>
              <w:rPr>
                <w:rFonts w:hint="eastAsia" w:ascii="宋体" w:hAnsi="宋体" w:cs="宋体"/>
                <w:color w:val="auto"/>
                <w:szCs w:val="21"/>
                <w:highlight w:val="none"/>
              </w:rPr>
            </w:pPr>
            <w:r>
              <w:rPr>
                <w:rFonts w:hint="eastAsia" w:ascii="宋体" w:hAnsi="宋体" w:cs="宋体"/>
                <w:color w:val="auto"/>
                <w:szCs w:val="21"/>
                <w:highlight w:val="none"/>
              </w:rPr>
              <w:t>移交时间</w:t>
            </w:r>
          </w:p>
        </w:tc>
        <w:tc>
          <w:tcPr>
            <w:tcW w:w="1667" w:type="dxa"/>
            <w:tcBorders>
              <w:top w:val="single" w:color="auto" w:sz="12" w:space="0"/>
              <w:bottom w:val="double" w:color="auto" w:sz="6" w:space="0"/>
            </w:tcBorders>
          </w:tcPr>
          <w:p w14:paraId="054211BF">
            <w:pPr>
              <w:rPr>
                <w:rFonts w:hint="eastAsia" w:ascii="宋体" w:hAnsi="宋体" w:cs="宋体"/>
                <w:color w:val="auto"/>
                <w:szCs w:val="21"/>
                <w:highlight w:val="none"/>
              </w:rPr>
            </w:pPr>
            <w:r>
              <w:rPr>
                <w:rFonts w:hint="eastAsia" w:ascii="宋体" w:hAnsi="宋体" w:cs="宋体"/>
                <w:color w:val="auto"/>
                <w:szCs w:val="21"/>
                <w:highlight w:val="none"/>
              </w:rPr>
              <w:t>责任人</w:t>
            </w:r>
          </w:p>
        </w:tc>
      </w:tr>
      <w:tr w14:paraId="39E931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tcBorders>
            <w:vAlign w:val="center"/>
          </w:tcPr>
          <w:p w14:paraId="455C362F">
            <w:pPr>
              <w:keepNext/>
              <w:rPr>
                <w:rFonts w:hint="eastAsia" w:ascii="宋体" w:hAnsi="宋体" w:cs="宋体"/>
                <w:color w:val="auto"/>
                <w:szCs w:val="21"/>
                <w:highlight w:val="none"/>
              </w:rPr>
            </w:pPr>
          </w:p>
        </w:tc>
        <w:tc>
          <w:tcPr>
            <w:tcW w:w="1276" w:type="dxa"/>
            <w:tcBorders>
              <w:top w:val="double" w:color="auto" w:sz="6" w:space="0"/>
            </w:tcBorders>
            <w:vAlign w:val="center"/>
          </w:tcPr>
          <w:p w14:paraId="708222D3">
            <w:pPr>
              <w:keepNext/>
              <w:rPr>
                <w:rFonts w:hint="eastAsia" w:ascii="宋体" w:hAnsi="宋体" w:cs="宋体"/>
                <w:color w:val="auto"/>
                <w:szCs w:val="21"/>
                <w:highlight w:val="none"/>
              </w:rPr>
            </w:pPr>
          </w:p>
        </w:tc>
        <w:tc>
          <w:tcPr>
            <w:tcW w:w="1450" w:type="dxa"/>
            <w:tcBorders>
              <w:top w:val="double" w:color="auto" w:sz="6" w:space="0"/>
            </w:tcBorders>
            <w:vAlign w:val="center"/>
          </w:tcPr>
          <w:p w14:paraId="6568A2A4">
            <w:pPr>
              <w:keepNext/>
              <w:rPr>
                <w:rFonts w:hint="eastAsia" w:ascii="宋体" w:hAnsi="宋体" w:cs="宋体"/>
                <w:color w:val="auto"/>
                <w:szCs w:val="21"/>
                <w:highlight w:val="none"/>
              </w:rPr>
            </w:pPr>
          </w:p>
        </w:tc>
        <w:tc>
          <w:tcPr>
            <w:tcW w:w="1243" w:type="dxa"/>
            <w:tcBorders>
              <w:top w:val="double" w:color="auto" w:sz="6" w:space="0"/>
            </w:tcBorders>
            <w:vAlign w:val="center"/>
          </w:tcPr>
          <w:p w14:paraId="42807767">
            <w:pPr>
              <w:keepNext/>
              <w:rPr>
                <w:rFonts w:hint="eastAsia" w:ascii="宋体" w:hAnsi="宋体" w:cs="宋体"/>
                <w:color w:val="auto"/>
                <w:szCs w:val="21"/>
                <w:highlight w:val="none"/>
              </w:rPr>
            </w:pPr>
          </w:p>
        </w:tc>
        <w:tc>
          <w:tcPr>
            <w:tcW w:w="1450" w:type="dxa"/>
            <w:tcBorders>
              <w:top w:val="double" w:color="auto" w:sz="6" w:space="0"/>
            </w:tcBorders>
            <w:vAlign w:val="center"/>
          </w:tcPr>
          <w:p w14:paraId="0882AD66">
            <w:pPr>
              <w:keepNext/>
              <w:rPr>
                <w:rFonts w:hint="eastAsia" w:ascii="宋体" w:hAnsi="宋体" w:cs="宋体"/>
                <w:color w:val="auto"/>
                <w:szCs w:val="21"/>
                <w:highlight w:val="none"/>
              </w:rPr>
            </w:pPr>
          </w:p>
        </w:tc>
        <w:tc>
          <w:tcPr>
            <w:tcW w:w="1667" w:type="dxa"/>
            <w:tcBorders>
              <w:top w:val="double" w:color="auto" w:sz="6" w:space="0"/>
            </w:tcBorders>
            <w:vAlign w:val="center"/>
          </w:tcPr>
          <w:p w14:paraId="3C562E4E">
            <w:pPr>
              <w:keepNext/>
              <w:rPr>
                <w:rFonts w:hint="eastAsia" w:ascii="宋体" w:hAnsi="宋体" w:cs="宋体"/>
                <w:color w:val="auto"/>
                <w:szCs w:val="21"/>
                <w:highlight w:val="none"/>
              </w:rPr>
            </w:pPr>
          </w:p>
        </w:tc>
      </w:tr>
      <w:tr w14:paraId="75DB0E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vAlign w:val="center"/>
          </w:tcPr>
          <w:p w14:paraId="476F1217">
            <w:pPr>
              <w:keepNext/>
              <w:rPr>
                <w:rFonts w:hint="eastAsia" w:ascii="宋体" w:hAnsi="宋体" w:cs="宋体"/>
                <w:color w:val="auto"/>
                <w:szCs w:val="21"/>
                <w:highlight w:val="none"/>
              </w:rPr>
            </w:pPr>
          </w:p>
        </w:tc>
        <w:tc>
          <w:tcPr>
            <w:tcW w:w="1276" w:type="dxa"/>
            <w:tcBorders>
              <w:top w:val="nil"/>
            </w:tcBorders>
            <w:vAlign w:val="center"/>
          </w:tcPr>
          <w:p w14:paraId="2F38BE05">
            <w:pPr>
              <w:keepNext/>
              <w:rPr>
                <w:rFonts w:hint="eastAsia" w:ascii="宋体" w:hAnsi="宋体" w:cs="宋体"/>
                <w:color w:val="auto"/>
                <w:szCs w:val="21"/>
                <w:highlight w:val="none"/>
              </w:rPr>
            </w:pPr>
          </w:p>
        </w:tc>
        <w:tc>
          <w:tcPr>
            <w:tcW w:w="1450" w:type="dxa"/>
            <w:tcBorders>
              <w:top w:val="nil"/>
            </w:tcBorders>
            <w:vAlign w:val="center"/>
          </w:tcPr>
          <w:p w14:paraId="637F5965">
            <w:pPr>
              <w:keepNext/>
              <w:rPr>
                <w:rFonts w:hint="eastAsia" w:ascii="宋体" w:hAnsi="宋体" w:cs="宋体"/>
                <w:color w:val="auto"/>
                <w:szCs w:val="21"/>
                <w:highlight w:val="none"/>
              </w:rPr>
            </w:pPr>
          </w:p>
        </w:tc>
        <w:tc>
          <w:tcPr>
            <w:tcW w:w="1243" w:type="dxa"/>
            <w:tcBorders>
              <w:top w:val="nil"/>
            </w:tcBorders>
            <w:vAlign w:val="center"/>
          </w:tcPr>
          <w:p w14:paraId="2B4A9B76">
            <w:pPr>
              <w:keepNext/>
              <w:rPr>
                <w:rFonts w:hint="eastAsia" w:ascii="宋体" w:hAnsi="宋体" w:cs="宋体"/>
                <w:color w:val="auto"/>
                <w:szCs w:val="21"/>
                <w:highlight w:val="none"/>
              </w:rPr>
            </w:pPr>
          </w:p>
        </w:tc>
        <w:tc>
          <w:tcPr>
            <w:tcW w:w="1450" w:type="dxa"/>
            <w:tcBorders>
              <w:top w:val="nil"/>
            </w:tcBorders>
            <w:vAlign w:val="center"/>
          </w:tcPr>
          <w:p w14:paraId="1A3A2B5C">
            <w:pPr>
              <w:keepNext/>
              <w:rPr>
                <w:rFonts w:hint="eastAsia" w:ascii="宋体" w:hAnsi="宋体" w:cs="宋体"/>
                <w:color w:val="auto"/>
                <w:szCs w:val="21"/>
                <w:highlight w:val="none"/>
              </w:rPr>
            </w:pPr>
          </w:p>
        </w:tc>
        <w:tc>
          <w:tcPr>
            <w:tcW w:w="1667" w:type="dxa"/>
            <w:tcBorders>
              <w:top w:val="nil"/>
            </w:tcBorders>
            <w:vAlign w:val="center"/>
          </w:tcPr>
          <w:p w14:paraId="5B8232A6">
            <w:pPr>
              <w:keepNext/>
              <w:rPr>
                <w:rFonts w:hint="eastAsia" w:ascii="宋体" w:hAnsi="宋体" w:cs="宋体"/>
                <w:color w:val="auto"/>
                <w:szCs w:val="21"/>
                <w:highlight w:val="none"/>
              </w:rPr>
            </w:pPr>
          </w:p>
        </w:tc>
      </w:tr>
      <w:tr w14:paraId="6BB2D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Pr>
          <w:p w14:paraId="3DAC8172">
            <w:pPr>
              <w:rPr>
                <w:rFonts w:hint="eastAsia" w:ascii="宋体" w:hAnsi="宋体" w:cs="宋体"/>
                <w:color w:val="auto"/>
                <w:szCs w:val="21"/>
                <w:highlight w:val="none"/>
              </w:rPr>
            </w:pPr>
          </w:p>
        </w:tc>
        <w:tc>
          <w:tcPr>
            <w:tcW w:w="1276" w:type="dxa"/>
          </w:tcPr>
          <w:p w14:paraId="7D987BF0">
            <w:pPr>
              <w:rPr>
                <w:rFonts w:hint="eastAsia" w:ascii="宋体" w:hAnsi="宋体" w:cs="宋体"/>
                <w:color w:val="auto"/>
                <w:szCs w:val="21"/>
                <w:highlight w:val="none"/>
              </w:rPr>
            </w:pPr>
          </w:p>
        </w:tc>
        <w:tc>
          <w:tcPr>
            <w:tcW w:w="1450" w:type="dxa"/>
          </w:tcPr>
          <w:p w14:paraId="03A8139D">
            <w:pPr>
              <w:rPr>
                <w:rFonts w:hint="eastAsia" w:ascii="宋体" w:hAnsi="宋体" w:cs="宋体"/>
                <w:color w:val="auto"/>
                <w:szCs w:val="21"/>
                <w:highlight w:val="none"/>
              </w:rPr>
            </w:pPr>
          </w:p>
        </w:tc>
        <w:tc>
          <w:tcPr>
            <w:tcW w:w="1243" w:type="dxa"/>
          </w:tcPr>
          <w:p w14:paraId="13FA562A">
            <w:pPr>
              <w:rPr>
                <w:rFonts w:hint="eastAsia" w:ascii="宋体" w:hAnsi="宋体" w:cs="宋体"/>
                <w:color w:val="auto"/>
                <w:szCs w:val="21"/>
                <w:highlight w:val="none"/>
              </w:rPr>
            </w:pPr>
          </w:p>
        </w:tc>
        <w:tc>
          <w:tcPr>
            <w:tcW w:w="1450" w:type="dxa"/>
          </w:tcPr>
          <w:p w14:paraId="3757D3C3">
            <w:pPr>
              <w:rPr>
                <w:rFonts w:hint="eastAsia" w:ascii="宋体" w:hAnsi="宋体" w:cs="宋体"/>
                <w:color w:val="auto"/>
                <w:szCs w:val="21"/>
                <w:highlight w:val="none"/>
              </w:rPr>
            </w:pPr>
          </w:p>
        </w:tc>
        <w:tc>
          <w:tcPr>
            <w:tcW w:w="1667" w:type="dxa"/>
          </w:tcPr>
          <w:p w14:paraId="30EE2484">
            <w:pPr>
              <w:rPr>
                <w:rFonts w:hint="eastAsia" w:ascii="宋体" w:hAnsi="宋体" w:cs="宋体"/>
                <w:color w:val="auto"/>
                <w:szCs w:val="21"/>
                <w:highlight w:val="none"/>
              </w:rPr>
            </w:pPr>
          </w:p>
        </w:tc>
      </w:tr>
      <w:tr w14:paraId="63C5F5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Pr>
          <w:p w14:paraId="7FD64E59">
            <w:pPr>
              <w:rPr>
                <w:rFonts w:hint="eastAsia" w:ascii="宋体" w:hAnsi="宋体" w:cs="宋体"/>
                <w:color w:val="auto"/>
                <w:szCs w:val="21"/>
                <w:highlight w:val="none"/>
              </w:rPr>
            </w:pPr>
          </w:p>
        </w:tc>
        <w:tc>
          <w:tcPr>
            <w:tcW w:w="1276" w:type="dxa"/>
          </w:tcPr>
          <w:p w14:paraId="7EF558A6">
            <w:pPr>
              <w:rPr>
                <w:rFonts w:hint="eastAsia" w:ascii="宋体" w:hAnsi="宋体" w:cs="宋体"/>
                <w:color w:val="auto"/>
                <w:szCs w:val="21"/>
                <w:highlight w:val="none"/>
              </w:rPr>
            </w:pPr>
          </w:p>
        </w:tc>
        <w:tc>
          <w:tcPr>
            <w:tcW w:w="1450" w:type="dxa"/>
          </w:tcPr>
          <w:p w14:paraId="7A46F964">
            <w:pPr>
              <w:rPr>
                <w:rFonts w:hint="eastAsia" w:ascii="宋体" w:hAnsi="宋体" w:cs="宋体"/>
                <w:color w:val="auto"/>
                <w:szCs w:val="21"/>
                <w:highlight w:val="none"/>
              </w:rPr>
            </w:pPr>
          </w:p>
        </w:tc>
        <w:tc>
          <w:tcPr>
            <w:tcW w:w="1243" w:type="dxa"/>
          </w:tcPr>
          <w:p w14:paraId="3727BF8C">
            <w:pPr>
              <w:rPr>
                <w:rFonts w:hint="eastAsia" w:ascii="宋体" w:hAnsi="宋体" w:cs="宋体"/>
                <w:color w:val="auto"/>
                <w:szCs w:val="21"/>
                <w:highlight w:val="none"/>
              </w:rPr>
            </w:pPr>
          </w:p>
        </w:tc>
        <w:tc>
          <w:tcPr>
            <w:tcW w:w="1450" w:type="dxa"/>
          </w:tcPr>
          <w:p w14:paraId="73DA5A31">
            <w:pPr>
              <w:rPr>
                <w:rFonts w:hint="eastAsia" w:ascii="宋体" w:hAnsi="宋体" w:cs="宋体"/>
                <w:color w:val="auto"/>
                <w:szCs w:val="21"/>
                <w:highlight w:val="none"/>
              </w:rPr>
            </w:pPr>
          </w:p>
        </w:tc>
        <w:tc>
          <w:tcPr>
            <w:tcW w:w="1667" w:type="dxa"/>
          </w:tcPr>
          <w:p w14:paraId="59D01B48">
            <w:pPr>
              <w:rPr>
                <w:rFonts w:hint="eastAsia" w:ascii="宋体" w:hAnsi="宋体" w:cs="宋体"/>
                <w:color w:val="auto"/>
                <w:szCs w:val="21"/>
                <w:highlight w:val="none"/>
              </w:rPr>
            </w:pPr>
          </w:p>
        </w:tc>
      </w:tr>
      <w:tr w14:paraId="6E08AA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bottom w:val="single" w:color="auto" w:sz="12" w:space="0"/>
            </w:tcBorders>
          </w:tcPr>
          <w:p w14:paraId="4D92126F">
            <w:pPr>
              <w:rPr>
                <w:rFonts w:hint="eastAsia" w:ascii="宋体" w:hAnsi="宋体" w:cs="宋体"/>
                <w:color w:val="auto"/>
                <w:szCs w:val="21"/>
                <w:highlight w:val="none"/>
              </w:rPr>
            </w:pPr>
          </w:p>
        </w:tc>
        <w:tc>
          <w:tcPr>
            <w:tcW w:w="1276" w:type="dxa"/>
            <w:tcBorders>
              <w:bottom w:val="single" w:color="auto" w:sz="12" w:space="0"/>
            </w:tcBorders>
          </w:tcPr>
          <w:p w14:paraId="023A3323">
            <w:pPr>
              <w:rPr>
                <w:rFonts w:hint="eastAsia" w:ascii="宋体" w:hAnsi="宋体" w:cs="宋体"/>
                <w:color w:val="auto"/>
                <w:szCs w:val="21"/>
                <w:highlight w:val="none"/>
              </w:rPr>
            </w:pPr>
          </w:p>
        </w:tc>
        <w:tc>
          <w:tcPr>
            <w:tcW w:w="1450" w:type="dxa"/>
            <w:tcBorders>
              <w:bottom w:val="single" w:color="auto" w:sz="12" w:space="0"/>
            </w:tcBorders>
          </w:tcPr>
          <w:p w14:paraId="0D5BC8E1">
            <w:pPr>
              <w:rPr>
                <w:rFonts w:hint="eastAsia" w:ascii="宋体" w:hAnsi="宋体" w:cs="宋体"/>
                <w:color w:val="auto"/>
                <w:szCs w:val="21"/>
                <w:highlight w:val="none"/>
              </w:rPr>
            </w:pPr>
          </w:p>
        </w:tc>
        <w:tc>
          <w:tcPr>
            <w:tcW w:w="1243" w:type="dxa"/>
            <w:tcBorders>
              <w:bottom w:val="single" w:color="auto" w:sz="12" w:space="0"/>
            </w:tcBorders>
          </w:tcPr>
          <w:p w14:paraId="72E05FB1">
            <w:pPr>
              <w:rPr>
                <w:rFonts w:hint="eastAsia" w:ascii="宋体" w:hAnsi="宋体" w:cs="宋体"/>
                <w:color w:val="auto"/>
                <w:szCs w:val="21"/>
                <w:highlight w:val="none"/>
              </w:rPr>
            </w:pPr>
          </w:p>
        </w:tc>
        <w:tc>
          <w:tcPr>
            <w:tcW w:w="1450" w:type="dxa"/>
            <w:tcBorders>
              <w:bottom w:val="single" w:color="auto" w:sz="12" w:space="0"/>
            </w:tcBorders>
          </w:tcPr>
          <w:p w14:paraId="1B9B9901">
            <w:pPr>
              <w:rPr>
                <w:rFonts w:hint="eastAsia" w:ascii="宋体" w:hAnsi="宋体" w:cs="宋体"/>
                <w:color w:val="auto"/>
                <w:szCs w:val="21"/>
                <w:highlight w:val="none"/>
              </w:rPr>
            </w:pPr>
          </w:p>
        </w:tc>
        <w:tc>
          <w:tcPr>
            <w:tcW w:w="1667" w:type="dxa"/>
            <w:tcBorders>
              <w:bottom w:val="single" w:color="auto" w:sz="12" w:space="0"/>
            </w:tcBorders>
          </w:tcPr>
          <w:p w14:paraId="212352CA">
            <w:pPr>
              <w:rPr>
                <w:rFonts w:hint="eastAsia" w:ascii="宋体" w:hAnsi="宋体" w:cs="宋体"/>
                <w:color w:val="auto"/>
                <w:szCs w:val="21"/>
                <w:highlight w:val="none"/>
              </w:rPr>
            </w:pPr>
          </w:p>
        </w:tc>
      </w:tr>
    </w:tbl>
    <w:p w14:paraId="41CEBD45">
      <w:pPr>
        <w:rPr>
          <w:rFonts w:hint="eastAsia" w:ascii="宋体" w:hAnsi="宋体" w:cs="宋体"/>
          <w:color w:val="auto"/>
          <w:szCs w:val="21"/>
          <w:highlight w:val="none"/>
        </w:rPr>
      </w:pPr>
    </w:p>
    <w:p w14:paraId="7A9172FF">
      <w:pPr>
        <w:keepNext/>
        <w:keepLines/>
        <w:spacing w:before="120" w:after="120" w:line="360" w:lineRule="auto"/>
        <w:jc w:val="left"/>
        <w:outlineLvl w:val="2"/>
        <w:rPr>
          <w:rFonts w:hint="eastAsia" w:ascii="宋体" w:hAnsi="宋体" w:cs="宋体"/>
          <w:bCs/>
          <w:color w:val="auto"/>
          <w:sz w:val="24"/>
          <w:highlight w:val="none"/>
        </w:rPr>
      </w:pPr>
      <w:bookmarkStart w:id="924" w:name="_Toc95223491"/>
      <w:r>
        <w:rPr>
          <w:rFonts w:hint="eastAsia" w:ascii="宋体" w:hAnsi="宋体" w:cs="宋体"/>
          <w:bCs/>
          <w:color w:val="auto"/>
          <w:sz w:val="24"/>
          <w:highlight w:val="none"/>
        </w:rPr>
        <w:t>附</w:t>
      </w:r>
      <w:bookmarkStart w:id="925" w:name="_Toc296347226"/>
      <w:bookmarkStart w:id="926" w:name="_Toc296891267"/>
      <w:bookmarkStart w:id="927" w:name="_Toc296891055"/>
      <w:bookmarkStart w:id="928" w:name="_Toc296944566"/>
      <w:bookmarkStart w:id="929" w:name="_Toc296346728"/>
      <w:bookmarkStart w:id="930" w:name="_Toc296503227"/>
      <w:bookmarkStart w:id="931" w:name="_Toc267261698"/>
      <w:r>
        <w:rPr>
          <w:rFonts w:hint="eastAsia" w:ascii="宋体" w:hAnsi="宋体" w:cs="宋体"/>
          <w:bCs/>
          <w:color w:val="auto"/>
          <w:sz w:val="24"/>
          <w:highlight w:val="none"/>
        </w:rPr>
        <w:t>件4：承包人用于本工程施工的机械设备表</w:t>
      </w:r>
      <w:bookmarkEnd w:id="924"/>
    </w:p>
    <w:bookmarkEnd w:id="925"/>
    <w:bookmarkEnd w:id="926"/>
    <w:bookmarkEnd w:id="927"/>
    <w:bookmarkEnd w:id="928"/>
    <w:bookmarkEnd w:id="929"/>
    <w:bookmarkEnd w:id="930"/>
    <w:bookmarkEnd w:id="931"/>
    <w:p w14:paraId="6A3A4FBF">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承包人用于本工程施工的机械设备表</w:t>
      </w:r>
    </w:p>
    <w:tbl>
      <w:tblPr>
        <w:tblStyle w:val="47"/>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418"/>
        <w:gridCol w:w="850"/>
        <w:gridCol w:w="709"/>
        <w:gridCol w:w="850"/>
        <w:gridCol w:w="963"/>
        <w:gridCol w:w="1480"/>
        <w:gridCol w:w="1020"/>
        <w:gridCol w:w="932"/>
      </w:tblGrid>
      <w:tr w14:paraId="4E525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tcBorders>
              <w:top w:val="single" w:color="auto" w:sz="12" w:space="0"/>
              <w:bottom w:val="double" w:color="auto" w:sz="6" w:space="0"/>
            </w:tcBorders>
            <w:vAlign w:val="center"/>
          </w:tcPr>
          <w:p w14:paraId="17B47149">
            <w:pPr>
              <w:keepNex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418" w:type="dxa"/>
            <w:tcBorders>
              <w:top w:val="single" w:color="auto" w:sz="12" w:space="0"/>
              <w:bottom w:val="double" w:color="auto" w:sz="6" w:space="0"/>
            </w:tcBorders>
            <w:vAlign w:val="center"/>
          </w:tcPr>
          <w:p w14:paraId="4ED1A514">
            <w:pPr>
              <w:keepNext/>
              <w:rPr>
                <w:rFonts w:hint="eastAsia" w:ascii="宋体" w:hAnsi="宋体" w:cs="宋体"/>
                <w:color w:val="auto"/>
                <w:szCs w:val="21"/>
                <w:highlight w:val="none"/>
              </w:rPr>
            </w:pPr>
            <w:r>
              <w:rPr>
                <w:rFonts w:hint="eastAsia" w:ascii="宋体" w:hAnsi="宋体" w:cs="宋体"/>
                <w:color w:val="auto"/>
                <w:szCs w:val="21"/>
                <w:highlight w:val="none"/>
              </w:rPr>
              <w:t>机械或设备名称</w:t>
            </w:r>
          </w:p>
        </w:tc>
        <w:tc>
          <w:tcPr>
            <w:tcW w:w="850" w:type="dxa"/>
            <w:tcBorders>
              <w:top w:val="single" w:color="auto" w:sz="12" w:space="0"/>
              <w:bottom w:val="double" w:color="auto" w:sz="6" w:space="0"/>
            </w:tcBorders>
            <w:vAlign w:val="center"/>
          </w:tcPr>
          <w:p w14:paraId="022F65FC">
            <w:pPr>
              <w:keepNext/>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709" w:type="dxa"/>
            <w:tcBorders>
              <w:top w:val="single" w:color="auto" w:sz="12" w:space="0"/>
              <w:bottom w:val="double" w:color="auto" w:sz="6" w:space="0"/>
            </w:tcBorders>
            <w:vAlign w:val="center"/>
          </w:tcPr>
          <w:p w14:paraId="4E2D0797">
            <w:pPr>
              <w:keepNex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50" w:type="dxa"/>
            <w:tcBorders>
              <w:top w:val="single" w:color="auto" w:sz="12" w:space="0"/>
              <w:bottom w:val="double" w:color="auto" w:sz="6" w:space="0"/>
            </w:tcBorders>
            <w:vAlign w:val="center"/>
          </w:tcPr>
          <w:p w14:paraId="2ACBBF09">
            <w:pPr>
              <w:keepNext/>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963" w:type="dxa"/>
            <w:tcBorders>
              <w:top w:val="single" w:color="auto" w:sz="12" w:space="0"/>
              <w:bottom w:val="double" w:color="auto" w:sz="6" w:space="0"/>
            </w:tcBorders>
            <w:vAlign w:val="center"/>
          </w:tcPr>
          <w:p w14:paraId="38365780">
            <w:pPr>
              <w:keepNext/>
              <w:rPr>
                <w:rFonts w:hint="eastAsia" w:ascii="宋体" w:hAnsi="宋体" w:cs="宋体"/>
                <w:color w:val="auto"/>
                <w:szCs w:val="21"/>
                <w:highlight w:val="none"/>
              </w:rPr>
            </w:pPr>
            <w:r>
              <w:rPr>
                <w:rFonts w:hint="eastAsia" w:ascii="宋体" w:hAnsi="宋体" w:cs="宋体"/>
                <w:color w:val="auto"/>
                <w:szCs w:val="21"/>
                <w:highlight w:val="none"/>
              </w:rPr>
              <w:t>制造年份</w:t>
            </w:r>
          </w:p>
        </w:tc>
        <w:tc>
          <w:tcPr>
            <w:tcW w:w="1480" w:type="dxa"/>
            <w:tcBorders>
              <w:top w:val="single" w:color="auto" w:sz="12" w:space="0"/>
              <w:bottom w:val="double" w:color="auto" w:sz="6" w:space="0"/>
            </w:tcBorders>
            <w:vAlign w:val="center"/>
          </w:tcPr>
          <w:p w14:paraId="0EEAA45F">
            <w:pPr>
              <w:keepNext/>
              <w:rPr>
                <w:rFonts w:hint="eastAsia" w:ascii="宋体" w:hAnsi="宋体" w:cs="宋体"/>
                <w:color w:val="auto"/>
                <w:szCs w:val="21"/>
                <w:highlight w:val="none"/>
              </w:rPr>
            </w:pPr>
            <w:r>
              <w:rPr>
                <w:rFonts w:hint="eastAsia" w:ascii="宋体" w:hAnsi="宋体" w:cs="宋体"/>
                <w:color w:val="auto"/>
                <w:szCs w:val="21"/>
                <w:highlight w:val="none"/>
              </w:rPr>
              <w:t>额定功率(kW)</w:t>
            </w:r>
          </w:p>
        </w:tc>
        <w:tc>
          <w:tcPr>
            <w:tcW w:w="1020" w:type="dxa"/>
            <w:tcBorders>
              <w:top w:val="single" w:color="auto" w:sz="12" w:space="0"/>
              <w:bottom w:val="double" w:color="auto" w:sz="6" w:space="0"/>
            </w:tcBorders>
            <w:vAlign w:val="center"/>
          </w:tcPr>
          <w:p w14:paraId="38905567">
            <w:pPr>
              <w:keepNext/>
              <w:rPr>
                <w:rFonts w:hint="eastAsia" w:ascii="宋体" w:hAnsi="宋体" w:cs="宋体"/>
                <w:color w:val="auto"/>
                <w:szCs w:val="21"/>
                <w:highlight w:val="none"/>
              </w:rPr>
            </w:pPr>
            <w:r>
              <w:rPr>
                <w:rFonts w:hint="eastAsia" w:ascii="宋体" w:hAnsi="宋体" w:cs="宋体"/>
                <w:color w:val="auto"/>
                <w:szCs w:val="21"/>
                <w:highlight w:val="none"/>
              </w:rPr>
              <w:t>生产能力</w:t>
            </w:r>
          </w:p>
        </w:tc>
        <w:tc>
          <w:tcPr>
            <w:tcW w:w="932" w:type="dxa"/>
            <w:tcBorders>
              <w:top w:val="single" w:color="auto" w:sz="12" w:space="0"/>
              <w:bottom w:val="double" w:color="auto" w:sz="6" w:space="0"/>
            </w:tcBorders>
            <w:vAlign w:val="center"/>
          </w:tcPr>
          <w:p w14:paraId="2B7F8044">
            <w:pPr>
              <w:keepNext/>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5B17E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double" w:color="auto" w:sz="6" w:space="0"/>
            </w:tcBorders>
            <w:vAlign w:val="center"/>
          </w:tcPr>
          <w:p w14:paraId="6636762A">
            <w:pPr>
              <w:keepNext/>
              <w:rPr>
                <w:rFonts w:hint="eastAsia" w:ascii="宋体" w:hAnsi="宋体" w:cs="宋体"/>
                <w:color w:val="auto"/>
                <w:szCs w:val="21"/>
                <w:highlight w:val="none"/>
              </w:rPr>
            </w:pPr>
          </w:p>
        </w:tc>
        <w:tc>
          <w:tcPr>
            <w:tcW w:w="1418" w:type="dxa"/>
            <w:tcBorders>
              <w:top w:val="double" w:color="auto" w:sz="6" w:space="0"/>
            </w:tcBorders>
            <w:vAlign w:val="center"/>
          </w:tcPr>
          <w:p w14:paraId="49D9F094">
            <w:pPr>
              <w:keepNext/>
              <w:rPr>
                <w:rFonts w:hint="eastAsia" w:ascii="宋体" w:hAnsi="宋体" w:cs="宋体"/>
                <w:color w:val="auto"/>
                <w:szCs w:val="21"/>
                <w:highlight w:val="none"/>
              </w:rPr>
            </w:pPr>
          </w:p>
        </w:tc>
        <w:tc>
          <w:tcPr>
            <w:tcW w:w="850" w:type="dxa"/>
            <w:tcBorders>
              <w:top w:val="double" w:color="auto" w:sz="6" w:space="0"/>
            </w:tcBorders>
            <w:vAlign w:val="center"/>
          </w:tcPr>
          <w:p w14:paraId="3530A970">
            <w:pPr>
              <w:keepNext/>
              <w:rPr>
                <w:rFonts w:hint="eastAsia" w:ascii="宋体" w:hAnsi="宋体" w:cs="宋体"/>
                <w:color w:val="auto"/>
                <w:szCs w:val="21"/>
                <w:highlight w:val="none"/>
              </w:rPr>
            </w:pPr>
          </w:p>
        </w:tc>
        <w:tc>
          <w:tcPr>
            <w:tcW w:w="709" w:type="dxa"/>
            <w:tcBorders>
              <w:top w:val="double" w:color="auto" w:sz="6" w:space="0"/>
            </w:tcBorders>
            <w:vAlign w:val="center"/>
          </w:tcPr>
          <w:p w14:paraId="145F739F">
            <w:pPr>
              <w:keepNext/>
              <w:rPr>
                <w:rFonts w:hint="eastAsia" w:ascii="宋体" w:hAnsi="宋体" w:cs="宋体"/>
                <w:color w:val="auto"/>
                <w:szCs w:val="21"/>
                <w:highlight w:val="none"/>
              </w:rPr>
            </w:pPr>
          </w:p>
        </w:tc>
        <w:tc>
          <w:tcPr>
            <w:tcW w:w="850" w:type="dxa"/>
            <w:tcBorders>
              <w:top w:val="double" w:color="auto" w:sz="6" w:space="0"/>
            </w:tcBorders>
            <w:vAlign w:val="center"/>
          </w:tcPr>
          <w:p w14:paraId="405F0D6A">
            <w:pPr>
              <w:keepNext/>
              <w:rPr>
                <w:rFonts w:hint="eastAsia" w:ascii="宋体" w:hAnsi="宋体" w:cs="宋体"/>
                <w:color w:val="auto"/>
                <w:szCs w:val="21"/>
                <w:highlight w:val="none"/>
              </w:rPr>
            </w:pPr>
          </w:p>
        </w:tc>
        <w:tc>
          <w:tcPr>
            <w:tcW w:w="963" w:type="dxa"/>
            <w:tcBorders>
              <w:top w:val="double" w:color="auto" w:sz="6" w:space="0"/>
            </w:tcBorders>
            <w:vAlign w:val="center"/>
          </w:tcPr>
          <w:p w14:paraId="633CD6B4">
            <w:pPr>
              <w:keepNext/>
              <w:rPr>
                <w:rFonts w:hint="eastAsia" w:ascii="宋体" w:hAnsi="宋体" w:cs="宋体"/>
                <w:color w:val="auto"/>
                <w:szCs w:val="21"/>
                <w:highlight w:val="none"/>
              </w:rPr>
            </w:pPr>
          </w:p>
        </w:tc>
        <w:tc>
          <w:tcPr>
            <w:tcW w:w="1480" w:type="dxa"/>
            <w:tcBorders>
              <w:top w:val="double" w:color="auto" w:sz="6" w:space="0"/>
            </w:tcBorders>
            <w:vAlign w:val="center"/>
          </w:tcPr>
          <w:p w14:paraId="22842667">
            <w:pPr>
              <w:keepNext/>
              <w:rPr>
                <w:rFonts w:hint="eastAsia" w:ascii="宋体" w:hAnsi="宋体" w:cs="宋体"/>
                <w:color w:val="auto"/>
                <w:szCs w:val="21"/>
                <w:highlight w:val="none"/>
              </w:rPr>
            </w:pPr>
          </w:p>
        </w:tc>
        <w:tc>
          <w:tcPr>
            <w:tcW w:w="1020" w:type="dxa"/>
            <w:tcBorders>
              <w:top w:val="double" w:color="auto" w:sz="6" w:space="0"/>
            </w:tcBorders>
            <w:vAlign w:val="center"/>
          </w:tcPr>
          <w:p w14:paraId="5B2F7D02">
            <w:pPr>
              <w:keepNext/>
              <w:rPr>
                <w:rFonts w:hint="eastAsia" w:ascii="宋体" w:hAnsi="宋体" w:cs="宋体"/>
                <w:color w:val="auto"/>
                <w:szCs w:val="21"/>
                <w:highlight w:val="none"/>
              </w:rPr>
            </w:pPr>
          </w:p>
        </w:tc>
        <w:tc>
          <w:tcPr>
            <w:tcW w:w="932" w:type="dxa"/>
            <w:tcBorders>
              <w:top w:val="double" w:color="auto" w:sz="6" w:space="0"/>
            </w:tcBorders>
            <w:vAlign w:val="center"/>
          </w:tcPr>
          <w:p w14:paraId="56E7B9C7">
            <w:pPr>
              <w:keepNext/>
              <w:rPr>
                <w:rFonts w:hint="eastAsia" w:ascii="宋体" w:hAnsi="宋体" w:cs="宋体"/>
                <w:color w:val="auto"/>
                <w:szCs w:val="21"/>
                <w:highlight w:val="none"/>
              </w:rPr>
            </w:pPr>
          </w:p>
        </w:tc>
      </w:tr>
      <w:tr w14:paraId="20DD17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nil"/>
            </w:tcBorders>
            <w:vAlign w:val="center"/>
          </w:tcPr>
          <w:p w14:paraId="3F53D3F0">
            <w:pPr>
              <w:keepNext/>
              <w:rPr>
                <w:rFonts w:hint="eastAsia" w:ascii="宋体" w:hAnsi="宋体" w:cs="宋体"/>
                <w:color w:val="auto"/>
                <w:szCs w:val="21"/>
                <w:highlight w:val="none"/>
              </w:rPr>
            </w:pPr>
          </w:p>
        </w:tc>
        <w:tc>
          <w:tcPr>
            <w:tcW w:w="1418" w:type="dxa"/>
            <w:tcBorders>
              <w:top w:val="nil"/>
            </w:tcBorders>
            <w:vAlign w:val="center"/>
          </w:tcPr>
          <w:p w14:paraId="018B3791">
            <w:pPr>
              <w:keepNext/>
              <w:rPr>
                <w:rFonts w:hint="eastAsia" w:ascii="宋体" w:hAnsi="宋体" w:cs="宋体"/>
                <w:color w:val="auto"/>
                <w:szCs w:val="21"/>
                <w:highlight w:val="none"/>
              </w:rPr>
            </w:pPr>
          </w:p>
        </w:tc>
        <w:tc>
          <w:tcPr>
            <w:tcW w:w="850" w:type="dxa"/>
            <w:tcBorders>
              <w:top w:val="nil"/>
            </w:tcBorders>
            <w:vAlign w:val="center"/>
          </w:tcPr>
          <w:p w14:paraId="542720A8">
            <w:pPr>
              <w:keepNext/>
              <w:rPr>
                <w:rFonts w:hint="eastAsia" w:ascii="宋体" w:hAnsi="宋体" w:cs="宋体"/>
                <w:color w:val="auto"/>
                <w:szCs w:val="21"/>
                <w:highlight w:val="none"/>
              </w:rPr>
            </w:pPr>
          </w:p>
        </w:tc>
        <w:tc>
          <w:tcPr>
            <w:tcW w:w="709" w:type="dxa"/>
            <w:tcBorders>
              <w:top w:val="nil"/>
            </w:tcBorders>
            <w:vAlign w:val="center"/>
          </w:tcPr>
          <w:p w14:paraId="1622A37F">
            <w:pPr>
              <w:keepNext/>
              <w:rPr>
                <w:rFonts w:hint="eastAsia" w:ascii="宋体" w:hAnsi="宋体" w:cs="宋体"/>
                <w:color w:val="auto"/>
                <w:szCs w:val="21"/>
                <w:highlight w:val="none"/>
              </w:rPr>
            </w:pPr>
          </w:p>
        </w:tc>
        <w:tc>
          <w:tcPr>
            <w:tcW w:w="850" w:type="dxa"/>
            <w:tcBorders>
              <w:top w:val="nil"/>
            </w:tcBorders>
            <w:vAlign w:val="center"/>
          </w:tcPr>
          <w:p w14:paraId="39BE5574">
            <w:pPr>
              <w:keepNext/>
              <w:rPr>
                <w:rFonts w:hint="eastAsia" w:ascii="宋体" w:hAnsi="宋体" w:cs="宋体"/>
                <w:color w:val="auto"/>
                <w:szCs w:val="21"/>
                <w:highlight w:val="none"/>
              </w:rPr>
            </w:pPr>
          </w:p>
        </w:tc>
        <w:tc>
          <w:tcPr>
            <w:tcW w:w="963" w:type="dxa"/>
            <w:tcBorders>
              <w:top w:val="nil"/>
            </w:tcBorders>
            <w:vAlign w:val="center"/>
          </w:tcPr>
          <w:p w14:paraId="42D5349B">
            <w:pPr>
              <w:keepNext/>
              <w:rPr>
                <w:rFonts w:hint="eastAsia" w:ascii="宋体" w:hAnsi="宋体" w:cs="宋体"/>
                <w:color w:val="auto"/>
                <w:szCs w:val="21"/>
                <w:highlight w:val="none"/>
              </w:rPr>
            </w:pPr>
          </w:p>
        </w:tc>
        <w:tc>
          <w:tcPr>
            <w:tcW w:w="1480" w:type="dxa"/>
            <w:tcBorders>
              <w:top w:val="nil"/>
            </w:tcBorders>
            <w:vAlign w:val="center"/>
          </w:tcPr>
          <w:p w14:paraId="6D860F6C">
            <w:pPr>
              <w:keepNext/>
              <w:rPr>
                <w:rFonts w:hint="eastAsia" w:ascii="宋体" w:hAnsi="宋体" w:cs="宋体"/>
                <w:color w:val="auto"/>
                <w:szCs w:val="21"/>
                <w:highlight w:val="none"/>
              </w:rPr>
            </w:pPr>
          </w:p>
        </w:tc>
        <w:tc>
          <w:tcPr>
            <w:tcW w:w="1020" w:type="dxa"/>
            <w:tcBorders>
              <w:top w:val="nil"/>
            </w:tcBorders>
            <w:vAlign w:val="center"/>
          </w:tcPr>
          <w:p w14:paraId="22436E92">
            <w:pPr>
              <w:keepNext/>
              <w:rPr>
                <w:rFonts w:hint="eastAsia" w:ascii="宋体" w:hAnsi="宋体" w:cs="宋体"/>
                <w:color w:val="auto"/>
                <w:szCs w:val="21"/>
                <w:highlight w:val="none"/>
              </w:rPr>
            </w:pPr>
          </w:p>
        </w:tc>
        <w:tc>
          <w:tcPr>
            <w:tcW w:w="932" w:type="dxa"/>
            <w:tcBorders>
              <w:top w:val="nil"/>
            </w:tcBorders>
            <w:vAlign w:val="center"/>
          </w:tcPr>
          <w:p w14:paraId="4AC5237F">
            <w:pPr>
              <w:keepNext/>
              <w:rPr>
                <w:rFonts w:hint="eastAsia" w:ascii="宋体" w:hAnsi="宋体" w:cs="宋体"/>
                <w:color w:val="auto"/>
                <w:szCs w:val="21"/>
                <w:highlight w:val="none"/>
              </w:rPr>
            </w:pPr>
          </w:p>
        </w:tc>
      </w:tr>
      <w:tr w14:paraId="08A681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Pr>
          <w:p w14:paraId="6EB572BC">
            <w:pPr>
              <w:rPr>
                <w:rFonts w:hint="eastAsia" w:ascii="宋体" w:hAnsi="宋体" w:cs="宋体"/>
                <w:color w:val="auto"/>
                <w:szCs w:val="21"/>
                <w:highlight w:val="none"/>
              </w:rPr>
            </w:pPr>
          </w:p>
        </w:tc>
        <w:tc>
          <w:tcPr>
            <w:tcW w:w="1418" w:type="dxa"/>
          </w:tcPr>
          <w:p w14:paraId="10B98C46">
            <w:pPr>
              <w:rPr>
                <w:rFonts w:hint="eastAsia" w:ascii="宋体" w:hAnsi="宋体" w:cs="宋体"/>
                <w:color w:val="auto"/>
                <w:szCs w:val="21"/>
                <w:highlight w:val="none"/>
              </w:rPr>
            </w:pPr>
          </w:p>
        </w:tc>
        <w:tc>
          <w:tcPr>
            <w:tcW w:w="850" w:type="dxa"/>
          </w:tcPr>
          <w:p w14:paraId="26B51E07">
            <w:pPr>
              <w:rPr>
                <w:rFonts w:hint="eastAsia" w:ascii="宋体" w:hAnsi="宋体" w:cs="宋体"/>
                <w:color w:val="auto"/>
                <w:szCs w:val="21"/>
                <w:highlight w:val="none"/>
              </w:rPr>
            </w:pPr>
          </w:p>
        </w:tc>
        <w:tc>
          <w:tcPr>
            <w:tcW w:w="709" w:type="dxa"/>
          </w:tcPr>
          <w:p w14:paraId="24748AE9">
            <w:pPr>
              <w:rPr>
                <w:rFonts w:hint="eastAsia" w:ascii="宋体" w:hAnsi="宋体" w:cs="宋体"/>
                <w:color w:val="auto"/>
                <w:szCs w:val="21"/>
                <w:highlight w:val="none"/>
              </w:rPr>
            </w:pPr>
          </w:p>
        </w:tc>
        <w:tc>
          <w:tcPr>
            <w:tcW w:w="850" w:type="dxa"/>
          </w:tcPr>
          <w:p w14:paraId="08548CBA">
            <w:pPr>
              <w:rPr>
                <w:rFonts w:hint="eastAsia" w:ascii="宋体" w:hAnsi="宋体" w:cs="宋体"/>
                <w:color w:val="auto"/>
                <w:szCs w:val="21"/>
                <w:highlight w:val="none"/>
              </w:rPr>
            </w:pPr>
          </w:p>
        </w:tc>
        <w:tc>
          <w:tcPr>
            <w:tcW w:w="963" w:type="dxa"/>
          </w:tcPr>
          <w:p w14:paraId="085EE1CC">
            <w:pPr>
              <w:rPr>
                <w:rFonts w:hint="eastAsia" w:ascii="宋体" w:hAnsi="宋体" w:cs="宋体"/>
                <w:color w:val="auto"/>
                <w:szCs w:val="21"/>
                <w:highlight w:val="none"/>
              </w:rPr>
            </w:pPr>
          </w:p>
        </w:tc>
        <w:tc>
          <w:tcPr>
            <w:tcW w:w="1480" w:type="dxa"/>
          </w:tcPr>
          <w:p w14:paraId="47AB1ED0">
            <w:pPr>
              <w:rPr>
                <w:rFonts w:hint="eastAsia" w:ascii="宋体" w:hAnsi="宋体" w:cs="宋体"/>
                <w:color w:val="auto"/>
                <w:szCs w:val="21"/>
                <w:highlight w:val="none"/>
              </w:rPr>
            </w:pPr>
          </w:p>
        </w:tc>
        <w:tc>
          <w:tcPr>
            <w:tcW w:w="1020" w:type="dxa"/>
          </w:tcPr>
          <w:p w14:paraId="094C1C96">
            <w:pPr>
              <w:rPr>
                <w:rFonts w:hint="eastAsia" w:ascii="宋体" w:hAnsi="宋体" w:cs="宋体"/>
                <w:color w:val="auto"/>
                <w:szCs w:val="21"/>
                <w:highlight w:val="none"/>
              </w:rPr>
            </w:pPr>
          </w:p>
        </w:tc>
        <w:tc>
          <w:tcPr>
            <w:tcW w:w="932" w:type="dxa"/>
          </w:tcPr>
          <w:p w14:paraId="463F8DA6">
            <w:pPr>
              <w:rPr>
                <w:rFonts w:hint="eastAsia" w:ascii="宋体" w:hAnsi="宋体" w:cs="宋体"/>
                <w:color w:val="auto"/>
                <w:szCs w:val="21"/>
                <w:highlight w:val="none"/>
              </w:rPr>
            </w:pPr>
          </w:p>
        </w:tc>
      </w:tr>
      <w:tr w14:paraId="75E83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Pr>
          <w:p w14:paraId="45C572DB">
            <w:pPr>
              <w:rPr>
                <w:rFonts w:hint="eastAsia" w:ascii="宋体" w:hAnsi="宋体" w:cs="宋体"/>
                <w:color w:val="auto"/>
                <w:szCs w:val="21"/>
                <w:highlight w:val="none"/>
              </w:rPr>
            </w:pPr>
          </w:p>
        </w:tc>
        <w:tc>
          <w:tcPr>
            <w:tcW w:w="1418" w:type="dxa"/>
          </w:tcPr>
          <w:p w14:paraId="7145AF43">
            <w:pPr>
              <w:rPr>
                <w:rFonts w:hint="eastAsia" w:ascii="宋体" w:hAnsi="宋体" w:cs="宋体"/>
                <w:color w:val="auto"/>
                <w:szCs w:val="21"/>
                <w:highlight w:val="none"/>
              </w:rPr>
            </w:pPr>
          </w:p>
        </w:tc>
        <w:tc>
          <w:tcPr>
            <w:tcW w:w="850" w:type="dxa"/>
          </w:tcPr>
          <w:p w14:paraId="0C0362FD">
            <w:pPr>
              <w:rPr>
                <w:rFonts w:hint="eastAsia" w:ascii="宋体" w:hAnsi="宋体" w:cs="宋体"/>
                <w:color w:val="auto"/>
                <w:szCs w:val="21"/>
                <w:highlight w:val="none"/>
              </w:rPr>
            </w:pPr>
          </w:p>
        </w:tc>
        <w:tc>
          <w:tcPr>
            <w:tcW w:w="709" w:type="dxa"/>
          </w:tcPr>
          <w:p w14:paraId="444F6F31">
            <w:pPr>
              <w:rPr>
                <w:rFonts w:hint="eastAsia" w:ascii="宋体" w:hAnsi="宋体" w:cs="宋体"/>
                <w:color w:val="auto"/>
                <w:szCs w:val="21"/>
                <w:highlight w:val="none"/>
              </w:rPr>
            </w:pPr>
          </w:p>
        </w:tc>
        <w:tc>
          <w:tcPr>
            <w:tcW w:w="850" w:type="dxa"/>
          </w:tcPr>
          <w:p w14:paraId="29EE0675">
            <w:pPr>
              <w:rPr>
                <w:rFonts w:hint="eastAsia" w:ascii="宋体" w:hAnsi="宋体" w:cs="宋体"/>
                <w:color w:val="auto"/>
                <w:szCs w:val="21"/>
                <w:highlight w:val="none"/>
              </w:rPr>
            </w:pPr>
          </w:p>
        </w:tc>
        <w:tc>
          <w:tcPr>
            <w:tcW w:w="963" w:type="dxa"/>
          </w:tcPr>
          <w:p w14:paraId="38A32A16">
            <w:pPr>
              <w:rPr>
                <w:rFonts w:hint="eastAsia" w:ascii="宋体" w:hAnsi="宋体" w:cs="宋体"/>
                <w:color w:val="auto"/>
                <w:szCs w:val="21"/>
                <w:highlight w:val="none"/>
              </w:rPr>
            </w:pPr>
          </w:p>
        </w:tc>
        <w:tc>
          <w:tcPr>
            <w:tcW w:w="1480" w:type="dxa"/>
          </w:tcPr>
          <w:p w14:paraId="296F0BA6">
            <w:pPr>
              <w:rPr>
                <w:rFonts w:hint="eastAsia" w:ascii="宋体" w:hAnsi="宋体" w:cs="宋体"/>
                <w:color w:val="auto"/>
                <w:szCs w:val="21"/>
                <w:highlight w:val="none"/>
              </w:rPr>
            </w:pPr>
          </w:p>
        </w:tc>
        <w:tc>
          <w:tcPr>
            <w:tcW w:w="1020" w:type="dxa"/>
          </w:tcPr>
          <w:p w14:paraId="5C9508DC">
            <w:pPr>
              <w:rPr>
                <w:rFonts w:hint="eastAsia" w:ascii="宋体" w:hAnsi="宋体" w:cs="宋体"/>
                <w:color w:val="auto"/>
                <w:szCs w:val="21"/>
                <w:highlight w:val="none"/>
              </w:rPr>
            </w:pPr>
          </w:p>
        </w:tc>
        <w:tc>
          <w:tcPr>
            <w:tcW w:w="932" w:type="dxa"/>
          </w:tcPr>
          <w:p w14:paraId="3AA36110">
            <w:pPr>
              <w:rPr>
                <w:rFonts w:hint="eastAsia" w:ascii="宋体" w:hAnsi="宋体" w:cs="宋体"/>
                <w:color w:val="auto"/>
                <w:szCs w:val="21"/>
                <w:highlight w:val="none"/>
              </w:rPr>
            </w:pPr>
          </w:p>
        </w:tc>
      </w:tr>
      <w:tr w14:paraId="4E6B5E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bottom w:val="single" w:color="auto" w:sz="12" w:space="0"/>
            </w:tcBorders>
          </w:tcPr>
          <w:p w14:paraId="6686ECA6">
            <w:pPr>
              <w:rPr>
                <w:rFonts w:hint="eastAsia" w:ascii="宋体" w:hAnsi="宋体" w:cs="宋体"/>
                <w:color w:val="auto"/>
                <w:szCs w:val="21"/>
                <w:highlight w:val="none"/>
              </w:rPr>
            </w:pPr>
          </w:p>
        </w:tc>
        <w:tc>
          <w:tcPr>
            <w:tcW w:w="1418" w:type="dxa"/>
            <w:tcBorders>
              <w:bottom w:val="single" w:color="auto" w:sz="12" w:space="0"/>
            </w:tcBorders>
          </w:tcPr>
          <w:p w14:paraId="3634660B">
            <w:pPr>
              <w:rPr>
                <w:rFonts w:hint="eastAsia" w:ascii="宋体" w:hAnsi="宋体" w:cs="宋体"/>
                <w:color w:val="auto"/>
                <w:szCs w:val="21"/>
                <w:highlight w:val="none"/>
              </w:rPr>
            </w:pPr>
          </w:p>
        </w:tc>
        <w:tc>
          <w:tcPr>
            <w:tcW w:w="850" w:type="dxa"/>
            <w:tcBorders>
              <w:bottom w:val="single" w:color="auto" w:sz="12" w:space="0"/>
            </w:tcBorders>
          </w:tcPr>
          <w:p w14:paraId="7125B35A">
            <w:pPr>
              <w:rPr>
                <w:rFonts w:hint="eastAsia" w:ascii="宋体" w:hAnsi="宋体" w:cs="宋体"/>
                <w:color w:val="auto"/>
                <w:szCs w:val="21"/>
                <w:highlight w:val="none"/>
              </w:rPr>
            </w:pPr>
          </w:p>
        </w:tc>
        <w:tc>
          <w:tcPr>
            <w:tcW w:w="709" w:type="dxa"/>
            <w:tcBorders>
              <w:bottom w:val="single" w:color="auto" w:sz="12" w:space="0"/>
            </w:tcBorders>
          </w:tcPr>
          <w:p w14:paraId="27518F1B">
            <w:pPr>
              <w:rPr>
                <w:rFonts w:hint="eastAsia" w:ascii="宋体" w:hAnsi="宋体" w:cs="宋体"/>
                <w:color w:val="auto"/>
                <w:szCs w:val="21"/>
                <w:highlight w:val="none"/>
              </w:rPr>
            </w:pPr>
          </w:p>
        </w:tc>
        <w:tc>
          <w:tcPr>
            <w:tcW w:w="850" w:type="dxa"/>
            <w:tcBorders>
              <w:bottom w:val="single" w:color="auto" w:sz="12" w:space="0"/>
            </w:tcBorders>
          </w:tcPr>
          <w:p w14:paraId="2F953DAE">
            <w:pPr>
              <w:rPr>
                <w:rFonts w:hint="eastAsia" w:ascii="宋体" w:hAnsi="宋体" w:cs="宋体"/>
                <w:color w:val="auto"/>
                <w:szCs w:val="21"/>
                <w:highlight w:val="none"/>
              </w:rPr>
            </w:pPr>
          </w:p>
        </w:tc>
        <w:tc>
          <w:tcPr>
            <w:tcW w:w="963" w:type="dxa"/>
            <w:tcBorders>
              <w:bottom w:val="single" w:color="auto" w:sz="12" w:space="0"/>
            </w:tcBorders>
          </w:tcPr>
          <w:p w14:paraId="32D4FBAA">
            <w:pPr>
              <w:rPr>
                <w:rFonts w:hint="eastAsia" w:ascii="宋体" w:hAnsi="宋体" w:cs="宋体"/>
                <w:color w:val="auto"/>
                <w:szCs w:val="21"/>
                <w:highlight w:val="none"/>
              </w:rPr>
            </w:pPr>
          </w:p>
        </w:tc>
        <w:tc>
          <w:tcPr>
            <w:tcW w:w="1480" w:type="dxa"/>
            <w:tcBorders>
              <w:bottom w:val="single" w:color="auto" w:sz="12" w:space="0"/>
            </w:tcBorders>
          </w:tcPr>
          <w:p w14:paraId="725C3F22">
            <w:pPr>
              <w:rPr>
                <w:rFonts w:hint="eastAsia" w:ascii="宋体" w:hAnsi="宋体" w:cs="宋体"/>
                <w:color w:val="auto"/>
                <w:szCs w:val="21"/>
                <w:highlight w:val="none"/>
              </w:rPr>
            </w:pPr>
          </w:p>
        </w:tc>
        <w:tc>
          <w:tcPr>
            <w:tcW w:w="1020" w:type="dxa"/>
            <w:tcBorders>
              <w:bottom w:val="single" w:color="auto" w:sz="12" w:space="0"/>
            </w:tcBorders>
          </w:tcPr>
          <w:p w14:paraId="331D719F">
            <w:pPr>
              <w:rPr>
                <w:rFonts w:hint="eastAsia" w:ascii="宋体" w:hAnsi="宋体" w:cs="宋体"/>
                <w:color w:val="auto"/>
                <w:szCs w:val="21"/>
                <w:highlight w:val="none"/>
              </w:rPr>
            </w:pPr>
          </w:p>
        </w:tc>
        <w:tc>
          <w:tcPr>
            <w:tcW w:w="932" w:type="dxa"/>
            <w:tcBorders>
              <w:bottom w:val="single" w:color="auto" w:sz="12" w:space="0"/>
            </w:tcBorders>
          </w:tcPr>
          <w:p w14:paraId="51112174">
            <w:pPr>
              <w:rPr>
                <w:rFonts w:hint="eastAsia" w:ascii="宋体" w:hAnsi="宋体" w:cs="宋体"/>
                <w:color w:val="auto"/>
                <w:szCs w:val="21"/>
                <w:highlight w:val="none"/>
              </w:rPr>
            </w:pPr>
          </w:p>
        </w:tc>
      </w:tr>
    </w:tbl>
    <w:p w14:paraId="1C272C2B">
      <w:pPr>
        <w:rPr>
          <w:rFonts w:hint="eastAsia" w:ascii="宋体" w:hAnsi="宋体" w:cs="宋体"/>
          <w:color w:val="auto"/>
          <w:szCs w:val="21"/>
          <w:highlight w:val="none"/>
        </w:rPr>
      </w:pPr>
    </w:p>
    <w:p w14:paraId="7749BCA0">
      <w:pPr>
        <w:widowControl/>
        <w:spacing w:line="360" w:lineRule="auto"/>
        <w:jc w:val="center"/>
        <w:rPr>
          <w:rFonts w:hint="eastAsia" w:ascii="宋体" w:hAnsi="宋体" w:cs="宋体"/>
          <w:color w:val="auto"/>
          <w:sz w:val="24"/>
          <w:highlight w:val="none"/>
        </w:rPr>
      </w:pPr>
      <w:r>
        <w:rPr>
          <w:rFonts w:hint="eastAsia" w:ascii="宋体" w:hAnsi="宋体" w:cs="宋体"/>
          <w:color w:val="auto"/>
          <w:szCs w:val="21"/>
          <w:highlight w:val="none"/>
        </w:rPr>
        <w:br w:type="page"/>
      </w:r>
    </w:p>
    <w:p w14:paraId="41263B91">
      <w:pPr>
        <w:keepNext/>
        <w:keepLines/>
        <w:spacing w:before="120" w:after="120" w:line="360" w:lineRule="auto"/>
        <w:jc w:val="left"/>
        <w:outlineLvl w:val="2"/>
        <w:rPr>
          <w:rFonts w:hint="eastAsia" w:ascii="宋体" w:hAnsi="宋体" w:cs="宋体"/>
          <w:bCs/>
          <w:color w:val="auto"/>
          <w:sz w:val="24"/>
          <w:highlight w:val="none"/>
        </w:rPr>
      </w:pPr>
      <w:bookmarkStart w:id="932" w:name="_Toc95223492"/>
      <w:r>
        <w:rPr>
          <w:rFonts w:hint="eastAsia" w:ascii="宋体" w:hAnsi="宋体" w:cs="宋体"/>
          <w:bCs/>
          <w:color w:val="auto"/>
          <w:sz w:val="24"/>
          <w:highlight w:val="none"/>
        </w:rPr>
        <w:t>附</w:t>
      </w:r>
      <w:bookmarkStart w:id="933" w:name="_Toc296891268"/>
      <w:bookmarkStart w:id="934" w:name="_Toc296346729"/>
      <w:bookmarkStart w:id="935" w:name="_Toc296891056"/>
      <w:bookmarkStart w:id="936" w:name="_Toc296503228"/>
      <w:bookmarkStart w:id="937" w:name="_Toc296347227"/>
      <w:bookmarkStart w:id="938" w:name="_Toc296944567"/>
      <w:bookmarkStart w:id="939" w:name="_Toc267261699"/>
      <w:r>
        <w:rPr>
          <w:rFonts w:hint="eastAsia" w:ascii="宋体" w:hAnsi="宋体" w:cs="宋体"/>
          <w:bCs/>
          <w:color w:val="auto"/>
          <w:sz w:val="24"/>
          <w:highlight w:val="none"/>
        </w:rPr>
        <w:t>件</w:t>
      </w:r>
      <w:bookmarkEnd w:id="933"/>
      <w:bookmarkEnd w:id="934"/>
      <w:bookmarkEnd w:id="935"/>
      <w:bookmarkEnd w:id="936"/>
      <w:bookmarkEnd w:id="937"/>
      <w:bookmarkEnd w:id="938"/>
      <w:bookmarkEnd w:id="939"/>
      <w:r>
        <w:rPr>
          <w:rFonts w:hint="eastAsia" w:ascii="宋体" w:hAnsi="宋体" w:cs="宋体"/>
          <w:bCs/>
          <w:color w:val="auto"/>
          <w:sz w:val="24"/>
          <w:highlight w:val="none"/>
        </w:rPr>
        <w:t>5：承包人主要施工管理人员表</w:t>
      </w:r>
      <w:bookmarkEnd w:id="932"/>
    </w:p>
    <w:p w14:paraId="189145EF">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承包人主要施工管理人员表</w:t>
      </w:r>
    </w:p>
    <w:tbl>
      <w:tblPr>
        <w:tblStyle w:val="47"/>
        <w:tblW w:w="511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29"/>
        <w:gridCol w:w="1156"/>
        <w:gridCol w:w="926"/>
        <w:gridCol w:w="926"/>
        <w:gridCol w:w="2358"/>
        <w:gridCol w:w="2124"/>
      </w:tblGrid>
      <w:tr w14:paraId="2CF092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single" w:color="auto" w:sz="12" w:space="0"/>
              <w:bottom w:val="double" w:color="auto" w:sz="6" w:space="0"/>
            </w:tcBorders>
            <w:vAlign w:val="center"/>
          </w:tcPr>
          <w:p w14:paraId="4C785A29">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627" w:type="pct"/>
            <w:tcBorders>
              <w:top w:val="single" w:color="auto" w:sz="12" w:space="0"/>
              <w:bottom w:val="double" w:color="auto" w:sz="6" w:space="0"/>
            </w:tcBorders>
            <w:vAlign w:val="center"/>
          </w:tcPr>
          <w:p w14:paraId="73E209F3">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502" w:type="pct"/>
            <w:tcBorders>
              <w:top w:val="single" w:color="auto" w:sz="12" w:space="0"/>
              <w:bottom w:val="double" w:color="auto" w:sz="6" w:space="0"/>
            </w:tcBorders>
            <w:vAlign w:val="center"/>
          </w:tcPr>
          <w:p w14:paraId="6860B207">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502" w:type="pct"/>
            <w:tcBorders>
              <w:top w:val="single" w:color="auto" w:sz="12" w:space="0"/>
              <w:bottom w:val="double" w:color="auto" w:sz="6" w:space="0"/>
            </w:tcBorders>
            <w:vAlign w:val="center"/>
          </w:tcPr>
          <w:p w14:paraId="772D8BDA">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279" w:type="pct"/>
            <w:tcBorders>
              <w:top w:val="single" w:color="auto" w:sz="12" w:space="0"/>
              <w:bottom w:val="double" w:color="auto" w:sz="6" w:space="0"/>
            </w:tcBorders>
            <w:vAlign w:val="center"/>
          </w:tcPr>
          <w:p w14:paraId="6596F18C">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主要资历、经验及承担过的项目</w:t>
            </w:r>
          </w:p>
        </w:tc>
        <w:tc>
          <w:tcPr>
            <w:tcW w:w="1153" w:type="pct"/>
            <w:tcBorders>
              <w:top w:val="single" w:color="auto" w:sz="12" w:space="0"/>
              <w:bottom w:val="double" w:color="auto" w:sz="6" w:space="0"/>
            </w:tcBorders>
          </w:tcPr>
          <w:p w14:paraId="54B2F1E1">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r>
      <w:tr w14:paraId="627825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tcBorders>
              <w:top w:val="double" w:color="auto" w:sz="6" w:space="0"/>
            </w:tcBorders>
            <w:vAlign w:val="center"/>
          </w:tcPr>
          <w:p w14:paraId="025B7FAC">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一、总部人员</w:t>
            </w:r>
          </w:p>
        </w:tc>
        <w:tc>
          <w:tcPr>
            <w:tcW w:w="1153" w:type="pct"/>
            <w:tcBorders>
              <w:top w:val="double" w:color="auto" w:sz="6" w:space="0"/>
            </w:tcBorders>
          </w:tcPr>
          <w:p w14:paraId="36F5F9E3">
            <w:pPr>
              <w:keepNext/>
              <w:spacing w:line="360" w:lineRule="auto"/>
              <w:jc w:val="center"/>
              <w:rPr>
                <w:rFonts w:hint="eastAsia" w:ascii="宋体" w:hAnsi="宋体" w:cs="宋体"/>
                <w:color w:val="auto"/>
                <w:szCs w:val="21"/>
                <w:highlight w:val="none"/>
              </w:rPr>
            </w:pPr>
          </w:p>
        </w:tc>
      </w:tr>
      <w:tr w14:paraId="730F0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vAlign w:val="center"/>
          </w:tcPr>
          <w:p w14:paraId="5873A27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项目主管</w:t>
            </w:r>
          </w:p>
        </w:tc>
        <w:tc>
          <w:tcPr>
            <w:tcW w:w="627" w:type="pct"/>
            <w:tcBorders>
              <w:top w:val="nil"/>
            </w:tcBorders>
            <w:vAlign w:val="center"/>
          </w:tcPr>
          <w:p w14:paraId="3BF970E9">
            <w:pPr>
              <w:keepNext/>
              <w:spacing w:line="360" w:lineRule="auto"/>
              <w:jc w:val="center"/>
              <w:rPr>
                <w:rFonts w:hint="eastAsia" w:ascii="宋体" w:hAnsi="宋体" w:cs="宋体"/>
                <w:color w:val="auto"/>
                <w:szCs w:val="21"/>
                <w:highlight w:val="none"/>
              </w:rPr>
            </w:pPr>
          </w:p>
        </w:tc>
        <w:tc>
          <w:tcPr>
            <w:tcW w:w="502" w:type="pct"/>
            <w:tcBorders>
              <w:top w:val="nil"/>
            </w:tcBorders>
            <w:vAlign w:val="center"/>
          </w:tcPr>
          <w:p w14:paraId="43ADBF24">
            <w:pPr>
              <w:keepNext/>
              <w:spacing w:line="360" w:lineRule="auto"/>
              <w:jc w:val="center"/>
              <w:rPr>
                <w:rFonts w:hint="eastAsia" w:ascii="宋体" w:hAnsi="宋体" w:cs="宋体"/>
                <w:color w:val="auto"/>
                <w:szCs w:val="21"/>
                <w:highlight w:val="none"/>
              </w:rPr>
            </w:pPr>
          </w:p>
        </w:tc>
        <w:tc>
          <w:tcPr>
            <w:tcW w:w="502" w:type="pct"/>
            <w:tcBorders>
              <w:top w:val="nil"/>
            </w:tcBorders>
            <w:vAlign w:val="center"/>
          </w:tcPr>
          <w:p w14:paraId="3739E6F5">
            <w:pPr>
              <w:keepNext/>
              <w:spacing w:line="360" w:lineRule="auto"/>
              <w:jc w:val="center"/>
              <w:rPr>
                <w:rFonts w:hint="eastAsia" w:ascii="宋体" w:hAnsi="宋体" w:cs="宋体"/>
                <w:color w:val="auto"/>
                <w:szCs w:val="21"/>
                <w:highlight w:val="none"/>
              </w:rPr>
            </w:pPr>
          </w:p>
        </w:tc>
        <w:tc>
          <w:tcPr>
            <w:tcW w:w="1279" w:type="pct"/>
            <w:tcBorders>
              <w:top w:val="nil"/>
            </w:tcBorders>
            <w:vAlign w:val="center"/>
          </w:tcPr>
          <w:p w14:paraId="769808BA">
            <w:pPr>
              <w:keepNext/>
              <w:spacing w:line="360" w:lineRule="auto"/>
              <w:jc w:val="center"/>
              <w:rPr>
                <w:rFonts w:hint="eastAsia" w:ascii="宋体" w:hAnsi="宋体" w:cs="宋体"/>
                <w:color w:val="auto"/>
                <w:szCs w:val="21"/>
                <w:highlight w:val="none"/>
              </w:rPr>
            </w:pPr>
          </w:p>
        </w:tc>
        <w:tc>
          <w:tcPr>
            <w:tcW w:w="1153" w:type="pct"/>
            <w:tcBorders>
              <w:top w:val="nil"/>
            </w:tcBorders>
          </w:tcPr>
          <w:p w14:paraId="268996A8">
            <w:pPr>
              <w:keepNext/>
              <w:spacing w:line="360" w:lineRule="auto"/>
              <w:jc w:val="center"/>
              <w:rPr>
                <w:rFonts w:hint="eastAsia" w:ascii="宋体" w:hAnsi="宋体" w:cs="宋体"/>
                <w:color w:val="auto"/>
                <w:szCs w:val="21"/>
                <w:highlight w:val="none"/>
              </w:rPr>
            </w:pPr>
          </w:p>
        </w:tc>
      </w:tr>
      <w:tr w14:paraId="15DF3E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bottom w:val="nil"/>
            </w:tcBorders>
            <w:vAlign w:val="center"/>
          </w:tcPr>
          <w:p w14:paraId="4D329E6A">
            <w:pPr>
              <w:spacing w:line="360" w:lineRule="auto"/>
              <w:jc w:val="center"/>
              <w:rPr>
                <w:rFonts w:hint="eastAsia" w:ascii="宋体" w:hAnsi="宋体" w:cs="宋体"/>
                <w:color w:val="auto"/>
                <w:szCs w:val="21"/>
                <w:highlight w:val="none"/>
              </w:rPr>
            </w:pPr>
          </w:p>
        </w:tc>
        <w:tc>
          <w:tcPr>
            <w:tcW w:w="627" w:type="pct"/>
            <w:vAlign w:val="center"/>
          </w:tcPr>
          <w:p w14:paraId="29D0334C">
            <w:pPr>
              <w:keepNext/>
              <w:spacing w:line="360" w:lineRule="auto"/>
              <w:jc w:val="center"/>
              <w:rPr>
                <w:rFonts w:hint="eastAsia" w:ascii="宋体" w:hAnsi="宋体" w:cs="宋体"/>
                <w:color w:val="auto"/>
                <w:szCs w:val="21"/>
                <w:highlight w:val="none"/>
              </w:rPr>
            </w:pPr>
          </w:p>
        </w:tc>
        <w:tc>
          <w:tcPr>
            <w:tcW w:w="502" w:type="pct"/>
            <w:vAlign w:val="center"/>
          </w:tcPr>
          <w:p w14:paraId="1025C996">
            <w:pPr>
              <w:keepNext/>
              <w:spacing w:line="360" w:lineRule="auto"/>
              <w:jc w:val="center"/>
              <w:rPr>
                <w:rFonts w:hint="eastAsia" w:ascii="宋体" w:hAnsi="宋体" w:cs="宋体"/>
                <w:color w:val="auto"/>
                <w:szCs w:val="21"/>
                <w:highlight w:val="none"/>
              </w:rPr>
            </w:pPr>
          </w:p>
        </w:tc>
        <w:tc>
          <w:tcPr>
            <w:tcW w:w="502" w:type="pct"/>
            <w:vAlign w:val="center"/>
          </w:tcPr>
          <w:p w14:paraId="5CFB499A">
            <w:pPr>
              <w:keepNext/>
              <w:spacing w:line="360" w:lineRule="auto"/>
              <w:jc w:val="center"/>
              <w:rPr>
                <w:rFonts w:hint="eastAsia" w:ascii="宋体" w:hAnsi="宋体" w:cs="宋体"/>
                <w:color w:val="auto"/>
                <w:szCs w:val="21"/>
                <w:highlight w:val="none"/>
              </w:rPr>
            </w:pPr>
          </w:p>
        </w:tc>
        <w:tc>
          <w:tcPr>
            <w:tcW w:w="1279" w:type="pct"/>
            <w:vAlign w:val="center"/>
          </w:tcPr>
          <w:p w14:paraId="2FC5C5D5">
            <w:pPr>
              <w:keepNext/>
              <w:spacing w:line="360" w:lineRule="auto"/>
              <w:jc w:val="center"/>
              <w:rPr>
                <w:rFonts w:hint="eastAsia" w:ascii="宋体" w:hAnsi="宋体" w:cs="宋体"/>
                <w:color w:val="auto"/>
                <w:szCs w:val="21"/>
                <w:highlight w:val="none"/>
              </w:rPr>
            </w:pPr>
          </w:p>
        </w:tc>
        <w:tc>
          <w:tcPr>
            <w:tcW w:w="1153" w:type="pct"/>
          </w:tcPr>
          <w:p w14:paraId="405353B0">
            <w:pPr>
              <w:keepNext/>
              <w:spacing w:line="360" w:lineRule="auto"/>
              <w:jc w:val="center"/>
              <w:rPr>
                <w:rFonts w:hint="eastAsia" w:ascii="宋体" w:hAnsi="宋体" w:cs="宋体"/>
                <w:color w:val="auto"/>
                <w:szCs w:val="21"/>
                <w:highlight w:val="none"/>
              </w:rPr>
            </w:pPr>
          </w:p>
        </w:tc>
      </w:tr>
      <w:tr w14:paraId="29D96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vAlign w:val="center"/>
          </w:tcPr>
          <w:p w14:paraId="53A7F50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vAlign w:val="center"/>
          </w:tcPr>
          <w:p w14:paraId="520327FD">
            <w:pPr>
              <w:keepNext/>
              <w:spacing w:line="360" w:lineRule="auto"/>
              <w:jc w:val="center"/>
              <w:rPr>
                <w:rFonts w:hint="eastAsia" w:ascii="宋体" w:hAnsi="宋体" w:cs="宋体"/>
                <w:color w:val="auto"/>
                <w:szCs w:val="21"/>
                <w:highlight w:val="none"/>
              </w:rPr>
            </w:pPr>
          </w:p>
        </w:tc>
        <w:tc>
          <w:tcPr>
            <w:tcW w:w="502" w:type="pct"/>
            <w:vAlign w:val="center"/>
          </w:tcPr>
          <w:p w14:paraId="646F0AE0">
            <w:pPr>
              <w:keepNext/>
              <w:spacing w:line="360" w:lineRule="auto"/>
              <w:jc w:val="center"/>
              <w:rPr>
                <w:rFonts w:hint="eastAsia" w:ascii="宋体" w:hAnsi="宋体" w:cs="宋体"/>
                <w:color w:val="auto"/>
                <w:szCs w:val="21"/>
                <w:highlight w:val="none"/>
              </w:rPr>
            </w:pPr>
          </w:p>
        </w:tc>
        <w:tc>
          <w:tcPr>
            <w:tcW w:w="502" w:type="pct"/>
            <w:vAlign w:val="center"/>
          </w:tcPr>
          <w:p w14:paraId="5D3B1543">
            <w:pPr>
              <w:keepNext/>
              <w:spacing w:line="360" w:lineRule="auto"/>
              <w:jc w:val="center"/>
              <w:rPr>
                <w:rFonts w:hint="eastAsia" w:ascii="宋体" w:hAnsi="宋体" w:cs="宋体"/>
                <w:color w:val="auto"/>
                <w:szCs w:val="21"/>
                <w:highlight w:val="none"/>
              </w:rPr>
            </w:pPr>
          </w:p>
        </w:tc>
        <w:tc>
          <w:tcPr>
            <w:tcW w:w="1279" w:type="pct"/>
            <w:vAlign w:val="center"/>
          </w:tcPr>
          <w:p w14:paraId="578C3E1D">
            <w:pPr>
              <w:keepNext/>
              <w:spacing w:line="360" w:lineRule="auto"/>
              <w:jc w:val="center"/>
              <w:rPr>
                <w:rFonts w:hint="eastAsia" w:ascii="宋体" w:hAnsi="宋体" w:cs="宋体"/>
                <w:color w:val="auto"/>
                <w:szCs w:val="21"/>
                <w:highlight w:val="none"/>
              </w:rPr>
            </w:pPr>
          </w:p>
        </w:tc>
        <w:tc>
          <w:tcPr>
            <w:tcW w:w="1153" w:type="pct"/>
          </w:tcPr>
          <w:p w14:paraId="5CEEA3B1">
            <w:pPr>
              <w:keepNext/>
              <w:spacing w:line="360" w:lineRule="auto"/>
              <w:jc w:val="center"/>
              <w:rPr>
                <w:rFonts w:hint="eastAsia" w:ascii="宋体" w:hAnsi="宋体" w:cs="宋体"/>
                <w:color w:val="auto"/>
                <w:szCs w:val="21"/>
                <w:highlight w:val="none"/>
              </w:rPr>
            </w:pPr>
          </w:p>
        </w:tc>
      </w:tr>
      <w:tr w14:paraId="55173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vAlign w:val="center"/>
          </w:tcPr>
          <w:p w14:paraId="4A33D3E0">
            <w:pPr>
              <w:spacing w:line="360" w:lineRule="auto"/>
              <w:jc w:val="center"/>
              <w:rPr>
                <w:rFonts w:hint="eastAsia" w:ascii="宋体" w:hAnsi="宋体" w:cs="宋体"/>
                <w:color w:val="auto"/>
                <w:szCs w:val="21"/>
                <w:highlight w:val="none"/>
              </w:rPr>
            </w:pPr>
          </w:p>
        </w:tc>
        <w:tc>
          <w:tcPr>
            <w:tcW w:w="627" w:type="pct"/>
            <w:vAlign w:val="center"/>
          </w:tcPr>
          <w:p w14:paraId="7CE1477E">
            <w:pPr>
              <w:keepNext/>
              <w:spacing w:line="360" w:lineRule="auto"/>
              <w:jc w:val="center"/>
              <w:rPr>
                <w:rFonts w:hint="eastAsia" w:ascii="宋体" w:hAnsi="宋体" w:cs="宋体"/>
                <w:color w:val="auto"/>
                <w:szCs w:val="21"/>
                <w:highlight w:val="none"/>
              </w:rPr>
            </w:pPr>
          </w:p>
        </w:tc>
        <w:tc>
          <w:tcPr>
            <w:tcW w:w="502" w:type="pct"/>
            <w:vAlign w:val="center"/>
          </w:tcPr>
          <w:p w14:paraId="5A23916E">
            <w:pPr>
              <w:keepNext/>
              <w:spacing w:line="360" w:lineRule="auto"/>
              <w:jc w:val="center"/>
              <w:rPr>
                <w:rFonts w:hint="eastAsia" w:ascii="宋体" w:hAnsi="宋体" w:cs="宋体"/>
                <w:color w:val="auto"/>
                <w:szCs w:val="21"/>
                <w:highlight w:val="none"/>
              </w:rPr>
            </w:pPr>
          </w:p>
        </w:tc>
        <w:tc>
          <w:tcPr>
            <w:tcW w:w="502" w:type="pct"/>
            <w:vAlign w:val="center"/>
          </w:tcPr>
          <w:p w14:paraId="456FCF2F">
            <w:pPr>
              <w:keepNext/>
              <w:spacing w:line="360" w:lineRule="auto"/>
              <w:jc w:val="center"/>
              <w:rPr>
                <w:rFonts w:hint="eastAsia" w:ascii="宋体" w:hAnsi="宋体" w:cs="宋体"/>
                <w:color w:val="auto"/>
                <w:szCs w:val="21"/>
                <w:highlight w:val="none"/>
              </w:rPr>
            </w:pPr>
          </w:p>
        </w:tc>
        <w:tc>
          <w:tcPr>
            <w:tcW w:w="1279" w:type="pct"/>
            <w:vAlign w:val="center"/>
          </w:tcPr>
          <w:p w14:paraId="7E921AA6">
            <w:pPr>
              <w:keepNext/>
              <w:spacing w:line="360" w:lineRule="auto"/>
              <w:jc w:val="center"/>
              <w:rPr>
                <w:rFonts w:hint="eastAsia" w:ascii="宋体" w:hAnsi="宋体" w:cs="宋体"/>
                <w:color w:val="auto"/>
                <w:szCs w:val="21"/>
                <w:highlight w:val="none"/>
              </w:rPr>
            </w:pPr>
          </w:p>
        </w:tc>
        <w:tc>
          <w:tcPr>
            <w:tcW w:w="1153" w:type="pct"/>
          </w:tcPr>
          <w:p w14:paraId="2DE115D0">
            <w:pPr>
              <w:keepNext/>
              <w:spacing w:line="360" w:lineRule="auto"/>
              <w:jc w:val="center"/>
              <w:rPr>
                <w:rFonts w:hint="eastAsia" w:ascii="宋体" w:hAnsi="宋体" w:cs="宋体"/>
                <w:color w:val="auto"/>
                <w:szCs w:val="21"/>
                <w:highlight w:val="none"/>
              </w:rPr>
            </w:pPr>
          </w:p>
        </w:tc>
      </w:tr>
      <w:tr w14:paraId="45C56D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vAlign w:val="center"/>
          </w:tcPr>
          <w:p w14:paraId="384A6A5F">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二、现场人员</w:t>
            </w:r>
          </w:p>
        </w:tc>
        <w:tc>
          <w:tcPr>
            <w:tcW w:w="1153" w:type="pct"/>
          </w:tcPr>
          <w:p w14:paraId="5791D043">
            <w:pPr>
              <w:keepNext/>
              <w:spacing w:line="360" w:lineRule="auto"/>
              <w:jc w:val="center"/>
              <w:rPr>
                <w:rFonts w:hint="eastAsia" w:ascii="宋体" w:hAnsi="宋体" w:cs="宋体"/>
                <w:color w:val="auto"/>
                <w:szCs w:val="21"/>
                <w:highlight w:val="none"/>
              </w:rPr>
            </w:pPr>
          </w:p>
        </w:tc>
      </w:tr>
      <w:tr w14:paraId="0A438C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14:paraId="20984D5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627" w:type="pct"/>
            <w:vAlign w:val="center"/>
          </w:tcPr>
          <w:p w14:paraId="102A5E77">
            <w:pPr>
              <w:keepNext/>
              <w:spacing w:line="360" w:lineRule="auto"/>
              <w:jc w:val="center"/>
              <w:rPr>
                <w:rFonts w:hint="eastAsia" w:ascii="宋体" w:hAnsi="宋体" w:cs="宋体"/>
                <w:color w:val="auto"/>
                <w:szCs w:val="21"/>
                <w:highlight w:val="none"/>
              </w:rPr>
            </w:pPr>
          </w:p>
        </w:tc>
        <w:tc>
          <w:tcPr>
            <w:tcW w:w="502" w:type="pct"/>
            <w:vAlign w:val="center"/>
          </w:tcPr>
          <w:p w14:paraId="007EF80C">
            <w:pPr>
              <w:keepNext/>
              <w:spacing w:line="360" w:lineRule="auto"/>
              <w:jc w:val="center"/>
              <w:rPr>
                <w:rFonts w:hint="eastAsia" w:ascii="宋体" w:hAnsi="宋体" w:cs="宋体"/>
                <w:color w:val="auto"/>
                <w:szCs w:val="21"/>
                <w:highlight w:val="none"/>
              </w:rPr>
            </w:pPr>
          </w:p>
        </w:tc>
        <w:tc>
          <w:tcPr>
            <w:tcW w:w="502" w:type="pct"/>
            <w:vAlign w:val="center"/>
          </w:tcPr>
          <w:p w14:paraId="5D814A31">
            <w:pPr>
              <w:keepNext/>
              <w:spacing w:line="360" w:lineRule="auto"/>
              <w:jc w:val="center"/>
              <w:rPr>
                <w:rFonts w:hint="eastAsia" w:ascii="宋体" w:hAnsi="宋体" w:cs="宋体"/>
                <w:color w:val="auto"/>
                <w:szCs w:val="21"/>
                <w:highlight w:val="none"/>
              </w:rPr>
            </w:pPr>
          </w:p>
        </w:tc>
        <w:tc>
          <w:tcPr>
            <w:tcW w:w="1279" w:type="pct"/>
            <w:vAlign w:val="center"/>
          </w:tcPr>
          <w:p w14:paraId="1A841CB6">
            <w:pPr>
              <w:keepNext/>
              <w:spacing w:line="360" w:lineRule="auto"/>
              <w:jc w:val="center"/>
              <w:rPr>
                <w:rFonts w:hint="eastAsia" w:ascii="宋体" w:hAnsi="宋体" w:cs="宋体"/>
                <w:color w:val="auto"/>
                <w:szCs w:val="21"/>
                <w:highlight w:val="none"/>
              </w:rPr>
            </w:pPr>
          </w:p>
        </w:tc>
        <w:tc>
          <w:tcPr>
            <w:tcW w:w="1153" w:type="pct"/>
          </w:tcPr>
          <w:p w14:paraId="6CEF046C">
            <w:pPr>
              <w:keepNext/>
              <w:spacing w:line="360" w:lineRule="auto"/>
              <w:jc w:val="center"/>
              <w:rPr>
                <w:rFonts w:hint="eastAsia" w:ascii="宋体" w:hAnsi="宋体" w:cs="宋体"/>
                <w:color w:val="auto"/>
                <w:szCs w:val="21"/>
                <w:highlight w:val="none"/>
              </w:rPr>
            </w:pPr>
          </w:p>
        </w:tc>
      </w:tr>
      <w:tr w14:paraId="4134A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14:paraId="4414BE0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项目副经理</w:t>
            </w:r>
          </w:p>
        </w:tc>
        <w:tc>
          <w:tcPr>
            <w:tcW w:w="627" w:type="pct"/>
            <w:vAlign w:val="center"/>
          </w:tcPr>
          <w:p w14:paraId="1D0F654F">
            <w:pPr>
              <w:keepNext/>
              <w:spacing w:line="360" w:lineRule="auto"/>
              <w:jc w:val="center"/>
              <w:rPr>
                <w:rFonts w:hint="eastAsia" w:ascii="宋体" w:hAnsi="宋体" w:cs="宋体"/>
                <w:color w:val="auto"/>
                <w:szCs w:val="21"/>
                <w:highlight w:val="none"/>
              </w:rPr>
            </w:pPr>
          </w:p>
        </w:tc>
        <w:tc>
          <w:tcPr>
            <w:tcW w:w="502" w:type="pct"/>
            <w:vAlign w:val="center"/>
          </w:tcPr>
          <w:p w14:paraId="029FD50C">
            <w:pPr>
              <w:keepNext/>
              <w:spacing w:line="360" w:lineRule="auto"/>
              <w:jc w:val="center"/>
              <w:rPr>
                <w:rFonts w:hint="eastAsia" w:ascii="宋体" w:hAnsi="宋体" w:cs="宋体"/>
                <w:color w:val="auto"/>
                <w:szCs w:val="21"/>
                <w:highlight w:val="none"/>
              </w:rPr>
            </w:pPr>
          </w:p>
        </w:tc>
        <w:tc>
          <w:tcPr>
            <w:tcW w:w="502" w:type="pct"/>
            <w:vAlign w:val="center"/>
          </w:tcPr>
          <w:p w14:paraId="7FAF1B00">
            <w:pPr>
              <w:keepNext/>
              <w:spacing w:line="360" w:lineRule="auto"/>
              <w:jc w:val="center"/>
              <w:rPr>
                <w:rFonts w:hint="eastAsia" w:ascii="宋体" w:hAnsi="宋体" w:cs="宋体"/>
                <w:color w:val="auto"/>
                <w:szCs w:val="21"/>
                <w:highlight w:val="none"/>
              </w:rPr>
            </w:pPr>
          </w:p>
        </w:tc>
        <w:tc>
          <w:tcPr>
            <w:tcW w:w="1279" w:type="pct"/>
            <w:vAlign w:val="center"/>
          </w:tcPr>
          <w:p w14:paraId="26B2E5E1">
            <w:pPr>
              <w:keepNext/>
              <w:spacing w:line="360" w:lineRule="auto"/>
              <w:jc w:val="center"/>
              <w:rPr>
                <w:rFonts w:hint="eastAsia" w:ascii="宋体" w:hAnsi="宋体" w:cs="宋体"/>
                <w:color w:val="auto"/>
                <w:szCs w:val="21"/>
                <w:highlight w:val="none"/>
              </w:rPr>
            </w:pPr>
          </w:p>
        </w:tc>
        <w:tc>
          <w:tcPr>
            <w:tcW w:w="1153" w:type="pct"/>
          </w:tcPr>
          <w:p w14:paraId="5404AF46">
            <w:pPr>
              <w:keepNext/>
              <w:spacing w:line="360" w:lineRule="auto"/>
              <w:jc w:val="center"/>
              <w:rPr>
                <w:rFonts w:hint="eastAsia" w:ascii="宋体" w:hAnsi="宋体" w:cs="宋体"/>
                <w:color w:val="auto"/>
                <w:szCs w:val="21"/>
                <w:highlight w:val="none"/>
              </w:rPr>
            </w:pPr>
          </w:p>
        </w:tc>
      </w:tr>
      <w:tr w14:paraId="340A8C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14:paraId="6ECA326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项目技术负责人</w:t>
            </w:r>
          </w:p>
        </w:tc>
        <w:tc>
          <w:tcPr>
            <w:tcW w:w="627" w:type="pct"/>
            <w:vAlign w:val="center"/>
          </w:tcPr>
          <w:p w14:paraId="572D167C">
            <w:pPr>
              <w:keepNext/>
              <w:spacing w:line="360" w:lineRule="auto"/>
              <w:jc w:val="center"/>
              <w:rPr>
                <w:rFonts w:hint="eastAsia" w:ascii="宋体" w:hAnsi="宋体" w:cs="宋体"/>
                <w:color w:val="auto"/>
                <w:szCs w:val="21"/>
                <w:highlight w:val="none"/>
              </w:rPr>
            </w:pPr>
          </w:p>
        </w:tc>
        <w:tc>
          <w:tcPr>
            <w:tcW w:w="502" w:type="pct"/>
            <w:vAlign w:val="center"/>
          </w:tcPr>
          <w:p w14:paraId="0CC48BF5">
            <w:pPr>
              <w:keepNext/>
              <w:spacing w:line="360" w:lineRule="auto"/>
              <w:jc w:val="center"/>
              <w:rPr>
                <w:rFonts w:hint="eastAsia" w:ascii="宋体" w:hAnsi="宋体" w:cs="宋体"/>
                <w:color w:val="auto"/>
                <w:szCs w:val="21"/>
                <w:highlight w:val="none"/>
              </w:rPr>
            </w:pPr>
          </w:p>
        </w:tc>
        <w:tc>
          <w:tcPr>
            <w:tcW w:w="502" w:type="pct"/>
            <w:vAlign w:val="center"/>
          </w:tcPr>
          <w:p w14:paraId="3F7AC92C">
            <w:pPr>
              <w:keepNext/>
              <w:spacing w:line="360" w:lineRule="auto"/>
              <w:jc w:val="center"/>
              <w:rPr>
                <w:rFonts w:hint="eastAsia" w:ascii="宋体" w:hAnsi="宋体" w:cs="宋体"/>
                <w:color w:val="auto"/>
                <w:szCs w:val="21"/>
                <w:highlight w:val="none"/>
              </w:rPr>
            </w:pPr>
          </w:p>
        </w:tc>
        <w:tc>
          <w:tcPr>
            <w:tcW w:w="1279" w:type="pct"/>
            <w:vAlign w:val="center"/>
          </w:tcPr>
          <w:p w14:paraId="5E6A877E">
            <w:pPr>
              <w:keepNext/>
              <w:spacing w:line="360" w:lineRule="auto"/>
              <w:jc w:val="center"/>
              <w:rPr>
                <w:rFonts w:hint="eastAsia" w:ascii="宋体" w:hAnsi="宋体" w:cs="宋体"/>
                <w:color w:val="auto"/>
                <w:szCs w:val="21"/>
                <w:highlight w:val="none"/>
              </w:rPr>
            </w:pPr>
          </w:p>
        </w:tc>
        <w:tc>
          <w:tcPr>
            <w:tcW w:w="1153" w:type="pct"/>
          </w:tcPr>
          <w:p w14:paraId="74CCA89D">
            <w:pPr>
              <w:keepNext/>
              <w:spacing w:line="360" w:lineRule="auto"/>
              <w:jc w:val="center"/>
              <w:rPr>
                <w:rFonts w:hint="eastAsia" w:ascii="宋体" w:hAnsi="宋体" w:cs="宋体"/>
                <w:color w:val="auto"/>
                <w:szCs w:val="21"/>
                <w:highlight w:val="none"/>
              </w:rPr>
            </w:pPr>
          </w:p>
        </w:tc>
      </w:tr>
      <w:tr w14:paraId="3C8EC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14:paraId="55EB1C8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施工员</w:t>
            </w:r>
          </w:p>
        </w:tc>
        <w:tc>
          <w:tcPr>
            <w:tcW w:w="627" w:type="pct"/>
            <w:vAlign w:val="center"/>
          </w:tcPr>
          <w:p w14:paraId="2022C9A6">
            <w:pPr>
              <w:keepNext/>
              <w:spacing w:line="360" w:lineRule="auto"/>
              <w:jc w:val="center"/>
              <w:rPr>
                <w:rFonts w:hint="eastAsia" w:ascii="宋体" w:hAnsi="宋体" w:cs="宋体"/>
                <w:color w:val="auto"/>
                <w:szCs w:val="21"/>
                <w:highlight w:val="none"/>
              </w:rPr>
            </w:pPr>
          </w:p>
        </w:tc>
        <w:tc>
          <w:tcPr>
            <w:tcW w:w="502" w:type="pct"/>
            <w:vAlign w:val="center"/>
          </w:tcPr>
          <w:p w14:paraId="49A28027">
            <w:pPr>
              <w:keepNext/>
              <w:spacing w:line="360" w:lineRule="auto"/>
              <w:jc w:val="center"/>
              <w:rPr>
                <w:rFonts w:hint="eastAsia" w:ascii="宋体" w:hAnsi="宋体" w:cs="宋体"/>
                <w:color w:val="auto"/>
                <w:szCs w:val="21"/>
                <w:highlight w:val="none"/>
              </w:rPr>
            </w:pPr>
          </w:p>
        </w:tc>
        <w:tc>
          <w:tcPr>
            <w:tcW w:w="502" w:type="pct"/>
            <w:vAlign w:val="center"/>
          </w:tcPr>
          <w:p w14:paraId="4879CB0A">
            <w:pPr>
              <w:keepNext/>
              <w:spacing w:line="360" w:lineRule="auto"/>
              <w:jc w:val="center"/>
              <w:rPr>
                <w:rFonts w:hint="eastAsia" w:ascii="宋体" w:hAnsi="宋体" w:cs="宋体"/>
                <w:color w:val="auto"/>
                <w:szCs w:val="21"/>
                <w:highlight w:val="none"/>
              </w:rPr>
            </w:pPr>
          </w:p>
        </w:tc>
        <w:tc>
          <w:tcPr>
            <w:tcW w:w="1279" w:type="pct"/>
            <w:vAlign w:val="center"/>
          </w:tcPr>
          <w:p w14:paraId="23D321A5">
            <w:pPr>
              <w:keepNext/>
              <w:spacing w:line="360" w:lineRule="auto"/>
              <w:jc w:val="center"/>
              <w:rPr>
                <w:rFonts w:hint="eastAsia" w:ascii="宋体" w:hAnsi="宋体" w:cs="宋体"/>
                <w:color w:val="auto"/>
                <w:szCs w:val="21"/>
                <w:highlight w:val="none"/>
              </w:rPr>
            </w:pPr>
          </w:p>
        </w:tc>
        <w:tc>
          <w:tcPr>
            <w:tcW w:w="1153" w:type="pct"/>
          </w:tcPr>
          <w:p w14:paraId="5A4DB820">
            <w:pPr>
              <w:keepNext/>
              <w:spacing w:line="360" w:lineRule="auto"/>
              <w:jc w:val="center"/>
              <w:rPr>
                <w:rFonts w:hint="eastAsia" w:ascii="宋体" w:hAnsi="宋体" w:cs="宋体"/>
                <w:color w:val="auto"/>
                <w:szCs w:val="21"/>
                <w:highlight w:val="none"/>
              </w:rPr>
            </w:pPr>
          </w:p>
        </w:tc>
      </w:tr>
      <w:tr w14:paraId="1CFA2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14:paraId="4FD7936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质检员（质量员）</w:t>
            </w:r>
          </w:p>
        </w:tc>
        <w:tc>
          <w:tcPr>
            <w:tcW w:w="627" w:type="pct"/>
            <w:vAlign w:val="center"/>
          </w:tcPr>
          <w:p w14:paraId="0B7FF8B7">
            <w:pPr>
              <w:keepNext/>
              <w:spacing w:line="360" w:lineRule="auto"/>
              <w:jc w:val="center"/>
              <w:rPr>
                <w:rFonts w:hint="eastAsia" w:ascii="宋体" w:hAnsi="宋体" w:cs="宋体"/>
                <w:color w:val="auto"/>
                <w:szCs w:val="21"/>
                <w:highlight w:val="none"/>
              </w:rPr>
            </w:pPr>
          </w:p>
        </w:tc>
        <w:tc>
          <w:tcPr>
            <w:tcW w:w="502" w:type="pct"/>
            <w:vAlign w:val="center"/>
          </w:tcPr>
          <w:p w14:paraId="52AFAC4D">
            <w:pPr>
              <w:keepNext/>
              <w:spacing w:line="360" w:lineRule="auto"/>
              <w:jc w:val="center"/>
              <w:rPr>
                <w:rFonts w:hint="eastAsia" w:ascii="宋体" w:hAnsi="宋体" w:cs="宋体"/>
                <w:color w:val="auto"/>
                <w:szCs w:val="21"/>
                <w:highlight w:val="none"/>
              </w:rPr>
            </w:pPr>
          </w:p>
        </w:tc>
        <w:tc>
          <w:tcPr>
            <w:tcW w:w="502" w:type="pct"/>
            <w:vAlign w:val="center"/>
          </w:tcPr>
          <w:p w14:paraId="558BC869">
            <w:pPr>
              <w:keepNext/>
              <w:spacing w:line="360" w:lineRule="auto"/>
              <w:jc w:val="center"/>
              <w:rPr>
                <w:rFonts w:hint="eastAsia" w:ascii="宋体" w:hAnsi="宋体" w:cs="宋体"/>
                <w:color w:val="auto"/>
                <w:szCs w:val="21"/>
                <w:highlight w:val="none"/>
              </w:rPr>
            </w:pPr>
          </w:p>
        </w:tc>
        <w:tc>
          <w:tcPr>
            <w:tcW w:w="1279" w:type="pct"/>
            <w:vAlign w:val="center"/>
          </w:tcPr>
          <w:p w14:paraId="2FDFB1EE">
            <w:pPr>
              <w:keepNext/>
              <w:spacing w:line="360" w:lineRule="auto"/>
              <w:jc w:val="center"/>
              <w:rPr>
                <w:rFonts w:hint="eastAsia" w:ascii="宋体" w:hAnsi="宋体" w:cs="宋体"/>
                <w:color w:val="auto"/>
                <w:szCs w:val="21"/>
                <w:highlight w:val="none"/>
              </w:rPr>
            </w:pPr>
          </w:p>
        </w:tc>
        <w:tc>
          <w:tcPr>
            <w:tcW w:w="1153" w:type="pct"/>
          </w:tcPr>
          <w:p w14:paraId="4BF58016">
            <w:pPr>
              <w:keepNext/>
              <w:spacing w:line="360" w:lineRule="auto"/>
              <w:jc w:val="center"/>
              <w:rPr>
                <w:rFonts w:hint="eastAsia" w:ascii="宋体" w:hAnsi="宋体" w:cs="宋体"/>
                <w:color w:val="auto"/>
                <w:szCs w:val="21"/>
                <w:highlight w:val="none"/>
              </w:rPr>
            </w:pPr>
          </w:p>
        </w:tc>
      </w:tr>
      <w:tr w14:paraId="020905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14:paraId="11A2FDB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安全员</w:t>
            </w:r>
          </w:p>
        </w:tc>
        <w:tc>
          <w:tcPr>
            <w:tcW w:w="627" w:type="pct"/>
            <w:vAlign w:val="center"/>
          </w:tcPr>
          <w:p w14:paraId="1C805D07">
            <w:pPr>
              <w:keepNext/>
              <w:spacing w:line="360" w:lineRule="auto"/>
              <w:jc w:val="center"/>
              <w:rPr>
                <w:rFonts w:hint="eastAsia" w:ascii="宋体" w:hAnsi="宋体" w:cs="宋体"/>
                <w:color w:val="auto"/>
                <w:szCs w:val="21"/>
                <w:highlight w:val="none"/>
              </w:rPr>
            </w:pPr>
          </w:p>
        </w:tc>
        <w:tc>
          <w:tcPr>
            <w:tcW w:w="502" w:type="pct"/>
            <w:vAlign w:val="center"/>
          </w:tcPr>
          <w:p w14:paraId="0DC04979">
            <w:pPr>
              <w:keepNext/>
              <w:spacing w:line="360" w:lineRule="auto"/>
              <w:jc w:val="center"/>
              <w:rPr>
                <w:rFonts w:hint="eastAsia" w:ascii="宋体" w:hAnsi="宋体" w:cs="宋体"/>
                <w:color w:val="auto"/>
                <w:szCs w:val="21"/>
                <w:highlight w:val="none"/>
              </w:rPr>
            </w:pPr>
          </w:p>
        </w:tc>
        <w:tc>
          <w:tcPr>
            <w:tcW w:w="502" w:type="pct"/>
            <w:vAlign w:val="center"/>
          </w:tcPr>
          <w:p w14:paraId="66D8E553">
            <w:pPr>
              <w:keepNext/>
              <w:spacing w:line="360" w:lineRule="auto"/>
              <w:jc w:val="center"/>
              <w:rPr>
                <w:rFonts w:hint="eastAsia" w:ascii="宋体" w:hAnsi="宋体" w:cs="宋体"/>
                <w:color w:val="auto"/>
                <w:szCs w:val="21"/>
                <w:highlight w:val="none"/>
              </w:rPr>
            </w:pPr>
          </w:p>
        </w:tc>
        <w:tc>
          <w:tcPr>
            <w:tcW w:w="1279" w:type="pct"/>
            <w:vAlign w:val="center"/>
          </w:tcPr>
          <w:p w14:paraId="261E3EC6">
            <w:pPr>
              <w:keepNext/>
              <w:spacing w:line="360" w:lineRule="auto"/>
              <w:jc w:val="center"/>
              <w:rPr>
                <w:rFonts w:hint="eastAsia" w:ascii="宋体" w:hAnsi="宋体" w:cs="宋体"/>
                <w:color w:val="auto"/>
                <w:szCs w:val="21"/>
                <w:highlight w:val="none"/>
              </w:rPr>
            </w:pPr>
          </w:p>
        </w:tc>
        <w:tc>
          <w:tcPr>
            <w:tcW w:w="1153" w:type="pct"/>
          </w:tcPr>
          <w:p w14:paraId="5D4C74F8">
            <w:pPr>
              <w:keepNext/>
              <w:spacing w:line="360" w:lineRule="auto"/>
              <w:jc w:val="center"/>
              <w:rPr>
                <w:rFonts w:hint="eastAsia" w:ascii="宋体" w:hAnsi="宋体" w:cs="宋体"/>
                <w:color w:val="auto"/>
                <w:szCs w:val="21"/>
                <w:highlight w:val="none"/>
              </w:rPr>
            </w:pPr>
          </w:p>
        </w:tc>
      </w:tr>
      <w:tr w14:paraId="7638C5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14:paraId="60ED63F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资料员</w:t>
            </w:r>
          </w:p>
        </w:tc>
        <w:tc>
          <w:tcPr>
            <w:tcW w:w="627" w:type="pct"/>
            <w:vAlign w:val="center"/>
          </w:tcPr>
          <w:p w14:paraId="30025799">
            <w:pPr>
              <w:keepNext/>
              <w:spacing w:line="360" w:lineRule="auto"/>
              <w:jc w:val="center"/>
              <w:rPr>
                <w:rFonts w:hint="eastAsia" w:ascii="宋体" w:hAnsi="宋体" w:cs="宋体"/>
                <w:color w:val="auto"/>
                <w:szCs w:val="21"/>
                <w:highlight w:val="none"/>
              </w:rPr>
            </w:pPr>
          </w:p>
        </w:tc>
        <w:tc>
          <w:tcPr>
            <w:tcW w:w="502" w:type="pct"/>
            <w:vAlign w:val="center"/>
          </w:tcPr>
          <w:p w14:paraId="446630C6">
            <w:pPr>
              <w:keepNext/>
              <w:spacing w:line="360" w:lineRule="auto"/>
              <w:jc w:val="center"/>
              <w:rPr>
                <w:rFonts w:hint="eastAsia" w:ascii="宋体" w:hAnsi="宋体" w:cs="宋体"/>
                <w:color w:val="auto"/>
                <w:szCs w:val="21"/>
                <w:highlight w:val="none"/>
              </w:rPr>
            </w:pPr>
          </w:p>
        </w:tc>
        <w:tc>
          <w:tcPr>
            <w:tcW w:w="502" w:type="pct"/>
            <w:vAlign w:val="center"/>
          </w:tcPr>
          <w:p w14:paraId="1D96ABED">
            <w:pPr>
              <w:keepNext/>
              <w:spacing w:line="360" w:lineRule="auto"/>
              <w:jc w:val="center"/>
              <w:rPr>
                <w:rFonts w:hint="eastAsia" w:ascii="宋体" w:hAnsi="宋体" w:cs="宋体"/>
                <w:color w:val="auto"/>
                <w:szCs w:val="21"/>
                <w:highlight w:val="none"/>
              </w:rPr>
            </w:pPr>
          </w:p>
        </w:tc>
        <w:tc>
          <w:tcPr>
            <w:tcW w:w="1279" w:type="pct"/>
            <w:vAlign w:val="center"/>
          </w:tcPr>
          <w:p w14:paraId="4781CD74">
            <w:pPr>
              <w:keepNext/>
              <w:spacing w:line="360" w:lineRule="auto"/>
              <w:jc w:val="center"/>
              <w:rPr>
                <w:rFonts w:hint="eastAsia" w:ascii="宋体" w:hAnsi="宋体" w:cs="宋体"/>
                <w:color w:val="auto"/>
                <w:szCs w:val="21"/>
                <w:highlight w:val="none"/>
              </w:rPr>
            </w:pPr>
          </w:p>
        </w:tc>
        <w:tc>
          <w:tcPr>
            <w:tcW w:w="1153" w:type="pct"/>
          </w:tcPr>
          <w:p w14:paraId="66F45593">
            <w:pPr>
              <w:keepNext/>
              <w:spacing w:line="360" w:lineRule="auto"/>
              <w:jc w:val="center"/>
              <w:rPr>
                <w:rFonts w:hint="eastAsia" w:ascii="宋体" w:hAnsi="宋体" w:cs="宋体"/>
                <w:color w:val="auto"/>
                <w:szCs w:val="21"/>
                <w:highlight w:val="none"/>
              </w:rPr>
            </w:pPr>
          </w:p>
        </w:tc>
      </w:tr>
      <w:tr w14:paraId="0801D5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restart"/>
            <w:vAlign w:val="center"/>
          </w:tcPr>
          <w:p w14:paraId="4BED9D0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vAlign w:val="center"/>
          </w:tcPr>
          <w:p w14:paraId="050C6540">
            <w:pPr>
              <w:keepNext/>
              <w:spacing w:line="360" w:lineRule="auto"/>
              <w:jc w:val="center"/>
              <w:rPr>
                <w:rFonts w:hint="eastAsia" w:ascii="宋体" w:hAnsi="宋体" w:cs="宋体"/>
                <w:color w:val="auto"/>
                <w:szCs w:val="21"/>
                <w:highlight w:val="none"/>
              </w:rPr>
            </w:pPr>
          </w:p>
        </w:tc>
        <w:tc>
          <w:tcPr>
            <w:tcW w:w="502" w:type="pct"/>
            <w:vAlign w:val="center"/>
          </w:tcPr>
          <w:p w14:paraId="5EBC3F3A">
            <w:pPr>
              <w:keepNext/>
              <w:spacing w:line="360" w:lineRule="auto"/>
              <w:jc w:val="center"/>
              <w:rPr>
                <w:rFonts w:hint="eastAsia" w:ascii="宋体" w:hAnsi="宋体" w:cs="宋体"/>
                <w:color w:val="auto"/>
                <w:szCs w:val="21"/>
                <w:highlight w:val="none"/>
              </w:rPr>
            </w:pPr>
          </w:p>
        </w:tc>
        <w:tc>
          <w:tcPr>
            <w:tcW w:w="502" w:type="pct"/>
            <w:vAlign w:val="center"/>
          </w:tcPr>
          <w:p w14:paraId="508DFC02">
            <w:pPr>
              <w:keepNext/>
              <w:spacing w:line="360" w:lineRule="auto"/>
              <w:jc w:val="center"/>
              <w:rPr>
                <w:rFonts w:hint="eastAsia" w:ascii="宋体" w:hAnsi="宋体" w:cs="宋体"/>
                <w:color w:val="auto"/>
                <w:szCs w:val="21"/>
                <w:highlight w:val="none"/>
              </w:rPr>
            </w:pPr>
          </w:p>
        </w:tc>
        <w:tc>
          <w:tcPr>
            <w:tcW w:w="1279" w:type="pct"/>
            <w:vAlign w:val="center"/>
          </w:tcPr>
          <w:p w14:paraId="1F6DD780">
            <w:pPr>
              <w:keepNext/>
              <w:spacing w:line="360" w:lineRule="auto"/>
              <w:jc w:val="center"/>
              <w:rPr>
                <w:rFonts w:hint="eastAsia" w:ascii="宋体" w:hAnsi="宋体" w:cs="宋体"/>
                <w:color w:val="auto"/>
                <w:szCs w:val="21"/>
                <w:highlight w:val="none"/>
              </w:rPr>
            </w:pPr>
          </w:p>
        </w:tc>
        <w:tc>
          <w:tcPr>
            <w:tcW w:w="1153" w:type="pct"/>
          </w:tcPr>
          <w:p w14:paraId="6DA67338">
            <w:pPr>
              <w:keepNext/>
              <w:spacing w:line="360" w:lineRule="auto"/>
              <w:jc w:val="center"/>
              <w:rPr>
                <w:rFonts w:hint="eastAsia" w:ascii="宋体" w:hAnsi="宋体" w:cs="宋体"/>
                <w:color w:val="auto"/>
                <w:szCs w:val="21"/>
                <w:highlight w:val="none"/>
              </w:rPr>
            </w:pPr>
          </w:p>
        </w:tc>
      </w:tr>
      <w:tr w14:paraId="76BCDF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vAlign w:val="center"/>
          </w:tcPr>
          <w:p w14:paraId="0CF3D3AD">
            <w:pPr>
              <w:keepNext/>
              <w:spacing w:line="360" w:lineRule="auto"/>
              <w:jc w:val="center"/>
              <w:rPr>
                <w:rFonts w:hint="eastAsia" w:ascii="宋体" w:hAnsi="宋体" w:cs="宋体"/>
                <w:color w:val="auto"/>
                <w:szCs w:val="21"/>
                <w:highlight w:val="none"/>
              </w:rPr>
            </w:pPr>
          </w:p>
        </w:tc>
        <w:tc>
          <w:tcPr>
            <w:tcW w:w="627" w:type="pct"/>
            <w:tcBorders>
              <w:bottom w:val="nil"/>
            </w:tcBorders>
            <w:vAlign w:val="center"/>
          </w:tcPr>
          <w:p w14:paraId="7A071381">
            <w:pPr>
              <w:keepNext/>
              <w:spacing w:line="360" w:lineRule="auto"/>
              <w:jc w:val="center"/>
              <w:rPr>
                <w:rFonts w:hint="eastAsia" w:ascii="宋体" w:hAnsi="宋体" w:cs="宋体"/>
                <w:color w:val="auto"/>
                <w:szCs w:val="21"/>
                <w:highlight w:val="none"/>
              </w:rPr>
            </w:pPr>
          </w:p>
        </w:tc>
        <w:tc>
          <w:tcPr>
            <w:tcW w:w="502" w:type="pct"/>
            <w:tcBorders>
              <w:bottom w:val="nil"/>
            </w:tcBorders>
            <w:vAlign w:val="center"/>
          </w:tcPr>
          <w:p w14:paraId="611E62B3">
            <w:pPr>
              <w:keepNext/>
              <w:spacing w:line="360" w:lineRule="auto"/>
              <w:jc w:val="center"/>
              <w:rPr>
                <w:rFonts w:hint="eastAsia" w:ascii="宋体" w:hAnsi="宋体" w:cs="宋体"/>
                <w:color w:val="auto"/>
                <w:szCs w:val="21"/>
                <w:highlight w:val="none"/>
              </w:rPr>
            </w:pPr>
          </w:p>
        </w:tc>
        <w:tc>
          <w:tcPr>
            <w:tcW w:w="502" w:type="pct"/>
            <w:tcBorders>
              <w:bottom w:val="nil"/>
            </w:tcBorders>
            <w:vAlign w:val="center"/>
          </w:tcPr>
          <w:p w14:paraId="5CA1DDD1">
            <w:pPr>
              <w:keepNext/>
              <w:spacing w:line="360" w:lineRule="auto"/>
              <w:jc w:val="center"/>
              <w:rPr>
                <w:rFonts w:hint="eastAsia" w:ascii="宋体" w:hAnsi="宋体" w:cs="宋体"/>
                <w:color w:val="auto"/>
                <w:szCs w:val="21"/>
                <w:highlight w:val="none"/>
              </w:rPr>
            </w:pPr>
          </w:p>
        </w:tc>
        <w:tc>
          <w:tcPr>
            <w:tcW w:w="1279" w:type="pct"/>
            <w:tcBorders>
              <w:bottom w:val="nil"/>
            </w:tcBorders>
            <w:vAlign w:val="center"/>
          </w:tcPr>
          <w:p w14:paraId="0B29BD5D">
            <w:pPr>
              <w:keepNext/>
              <w:spacing w:line="360" w:lineRule="auto"/>
              <w:jc w:val="center"/>
              <w:rPr>
                <w:rFonts w:hint="eastAsia" w:ascii="宋体" w:hAnsi="宋体" w:cs="宋体"/>
                <w:color w:val="auto"/>
                <w:szCs w:val="21"/>
                <w:highlight w:val="none"/>
              </w:rPr>
            </w:pPr>
          </w:p>
        </w:tc>
        <w:tc>
          <w:tcPr>
            <w:tcW w:w="1153" w:type="pct"/>
            <w:tcBorders>
              <w:bottom w:val="nil"/>
            </w:tcBorders>
          </w:tcPr>
          <w:p w14:paraId="6B3041B8">
            <w:pPr>
              <w:keepNext/>
              <w:spacing w:line="360" w:lineRule="auto"/>
              <w:jc w:val="center"/>
              <w:rPr>
                <w:rFonts w:hint="eastAsia" w:ascii="宋体" w:hAnsi="宋体" w:cs="宋体"/>
                <w:color w:val="auto"/>
                <w:szCs w:val="21"/>
                <w:highlight w:val="none"/>
              </w:rPr>
            </w:pPr>
          </w:p>
        </w:tc>
      </w:tr>
      <w:tr w14:paraId="6B4F5B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vAlign w:val="center"/>
          </w:tcPr>
          <w:p w14:paraId="69045BC1">
            <w:pPr>
              <w:keepNext/>
              <w:spacing w:line="360" w:lineRule="auto"/>
              <w:jc w:val="center"/>
              <w:rPr>
                <w:rFonts w:hint="eastAsia" w:ascii="宋体" w:hAnsi="宋体" w:cs="宋体"/>
                <w:color w:val="auto"/>
                <w:szCs w:val="21"/>
                <w:highlight w:val="none"/>
              </w:rPr>
            </w:pPr>
          </w:p>
        </w:tc>
        <w:tc>
          <w:tcPr>
            <w:tcW w:w="627" w:type="pct"/>
            <w:vAlign w:val="center"/>
          </w:tcPr>
          <w:p w14:paraId="1C6767E8">
            <w:pPr>
              <w:keepNext/>
              <w:spacing w:line="360" w:lineRule="auto"/>
              <w:jc w:val="center"/>
              <w:rPr>
                <w:rFonts w:hint="eastAsia" w:ascii="宋体" w:hAnsi="宋体" w:cs="宋体"/>
                <w:color w:val="auto"/>
                <w:szCs w:val="21"/>
                <w:highlight w:val="none"/>
              </w:rPr>
            </w:pPr>
          </w:p>
        </w:tc>
        <w:tc>
          <w:tcPr>
            <w:tcW w:w="502" w:type="pct"/>
            <w:vAlign w:val="center"/>
          </w:tcPr>
          <w:p w14:paraId="0968FD96">
            <w:pPr>
              <w:keepNext/>
              <w:spacing w:line="360" w:lineRule="auto"/>
              <w:jc w:val="center"/>
              <w:rPr>
                <w:rFonts w:hint="eastAsia" w:ascii="宋体" w:hAnsi="宋体" w:cs="宋体"/>
                <w:color w:val="auto"/>
                <w:szCs w:val="21"/>
                <w:highlight w:val="none"/>
              </w:rPr>
            </w:pPr>
          </w:p>
        </w:tc>
        <w:tc>
          <w:tcPr>
            <w:tcW w:w="502" w:type="pct"/>
            <w:vAlign w:val="center"/>
          </w:tcPr>
          <w:p w14:paraId="3EA3F65A">
            <w:pPr>
              <w:keepNext/>
              <w:spacing w:line="360" w:lineRule="auto"/>
              <w:jc w:val="center"/>
              <w:rPr>
                <w:rFonts w:hint="eastAsia" w:ascii="宋体" w:hAnsi="宋体" w:cs="宋体"/>
                <w:color w:val="auto"/>
                <w:szCs w:val="21"/>
                <w:highlight w:val="none"/>
              </w:rPr>
            </w:pPr>
          </w:p>
        </w:tc>
        <w:tc>
          <w:tcPr>
            <w:tcW w:w="1279" w:type="pct"/>
            <w:vAlign w:val="center"/>
          </w:tcPr>
          <w:p w14:paraId="1B647881">
            <w:pPr>
              <w:keepNext/>
              <w:spacing w:line="360" w:lineRule="auto"/>
              <w:jc w:val="center"/>
              <w:rPr>
                <w:rFonts w:hint="eastAsia" w:ascii="宋体" w:hAnsi="宋体" w:cs="宋体"/>
                <w:color w:val="auto"/>
                <w:szCs w:val="21"/>
                <w:highlight w:val="none"/>
              </w:rPr>
            </w:pPr>
          </w:p>
        </w:tc>
        <w:tc>
          <w:tcPr>
            <w:tcW w:w="1153" w:type="pct"/>
          </w:tcPr>
          <w:p w14:paraId="324CEA2C">
            <w:pPr>
              <w:keepNext/>
              <w:spacing w:line="360" w:lineRule="auto"/>
              <w:jc w:val="center"/>
              <w:rPr>
                <w:rFonts w:hint="eastAsia" w:ascii="宋体" w:hAnsi="宋体" w:cs="宋体"/>
                <w:color w:val="auto"/>
                <w:szCs w:val="21"/>
                <w:highlight w:val="none"/>
              </w:rPr>
            </w:pPr>
          </w:p>
        </w:tc>
      </w:tr>
      <w:tr w14:paraId="12E27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vAlign w:val="center"/>
          </w:tcPr>
          <w:p w14:paraId="1BE88952">
            <w:pPr>
              <w:keepNext/>
              <w:spacing w:line="360" w:lineRule="auto"/>
              <w:jc w:val="center"/>
              <w:rPr>
                <w:rFonts w:hint="eastAsia" w:ascii="宋体" w:hAnsi="宋体" w:cs="宋体"/>
                <w:color w:val="auto"/>
                <w:szCs w:val="21"/>
                <w:highlight w:val="none"/>
              </w:rPr>
            </w:pPr>
          </w:p>
        </w:tc>
        <w:tc>
          <w:tcPr>
            <w:tcW w:w="627" w:type="pct"/>
            <w:vAlign w:val="center"/>
          </w:tcPr>
          <w:p w14:paraId="4AEDEA11">
            <w:pPr>
              <w:keepNext/>
              <w:spacing w:line="360" w:lineRule="auto"/>
              <w:jc w:val="center"/>
              <w:rPr>
                <w:rFonts w:hint="eastAsia" w:ascii="宋体" w:hAnsi="宋体" w:cs="宋体"/>
                <w:color w:val="auto"/>
                <w:szCs w:val="21"/>
                <w:highlight w:val="none"/>
              </w:rPr>
            </w:pPr>
          </w:p>
        </w:tc>
        <w:tc>
          <w:tcPr>
            <w:tcW w:w="502" w:type="pct"/>
            <w:vAlign w:val="center"/>
          </w:tcPr>
          <w:p w14:paraId="62485C38">
            <w:pPr>
              <w:keepNext/>
              <w:spacing w:line="360" w:lineRule="auto"/>
              <w:jc w:val="center"/>
              <w:rPr>
                <w:rFonts w:hint="eastAsia" w:ascii="宋体" w:hAnsi="宋体" w:cs="宋体"/>
                <w:color w:val="auto"/>
                <w:szCs w:val="21"/>
                <w:highlight w:val="none"/>
              </w:rPr>
            </w:pPr>
          </w:p>
        </w:tc>
        <w:tc>
          <w:tcPr>
            <w:tcW w:w="502" w:type="pct"/>
            <w:vAlign w:val="center"/>
          </w:tcPr>
          <w:p w14:paraId="586F37EB">
            <w:pPr>
              <w:keepNext/>
              <w:spacing w:line="360" w:lineRule="auto"/>
              <w:jc w:val="center"/>
              <w:rPr>
                <w:rFonts w:hint="eastAsia" w:ascii="宋体" w:hAnsi="宋体" w:cs="宋体"/>
                <w:color w:val="auto"/>
                <w:szCs w:val="21"/>
                <w:highlight w:val="none"/>
              </w:rPr>
            </w:pPr>
          </w:p>
        </w:tc>
        <w:tc>
          <w:tcPr>
            <w:tcW w:w="1279" w:type="pct"/>
            <w:vAlign w:val="center"/>
          </w:tcPr>
          <w:p w14:paraId="6F7BD34B">
            <w:pPr>
              <w:keepNext/>
              <w:spacing w:line="360" w:lineRule="auto"/>
              <w:jc w:val="center"/>
              <w:rPr>
                <w:rFonts w:hint="eastAsia" w:ascii="宋体" w:hAnsi="宋体" w:cs="宋体"/>
                <w:color w:val="auto"/>
                <w:szCs w:val="21"/>
                <w:highlight w:val="none"/>
              </w:rPr>
            </w:pPr>
          </w:p>
        </w:tc>
        <w:tc>
          <w:tcPr>
            <w:tcW w:w="1153" w:type="pct"/>
          </w:tcPr>
          <w:p w14:paraId="04431E9D">
            <w:pPr>
              <w:keepNext/>
              <w:spacing w:line="360" w:lineRule="auto"/>
              <w:jc w:val="center"/>
              <w:rPr>
                <w:rFonts w:hint="eastAsia" w:ascii="宋体" w:hAnsi="宋体" w:cs="宋体"/>
                <w:color w:val="auto"/>
                <w:szCs w:val="21"/>
                <w:highlight w:val="none"/>
              </w:rPr>
            </w:pPr>
          </w:p>
        </w:tc>
      </w:tr>
      <w:tr w14:paraId="707E46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vAlign w:val="center"/>
          </w:tcPr>
          <w:p w14:paraId="3BCBD650">
            <w:pPr>
              <w:keepNext/>
              <w:spacing w:line="360" w:lineRule="auto"/>
              <w:jc w:val="center"/>
              <w:rPr>
                <w:rFonts w:hint="eastAsia" w:ascii="宋体" w:hAnsi="宋体" w:cs="宋体"/>
                <w:color w:val="auto"/>
                <w:szCs w:val="21"/>
                <w:highlight w:val="none"/>
              </w:rPr>
            </w:pPr>
          </w:p>
        </w:tc>
        <w:tc>
          <w:tcPr>
            <w:tcW w:w="627" w:type="pct"/>
            <w:vAlign w:val="center"/>
          </w:tcPr>
          <w:p w14:paraId="3A8F254E">
            <w:pPr>
              <w:keepNext/>
              <w:spacing w:line="360" w:lineRule="auto"/>
              <w:jc w:val="center"/>
              <w:rPr>
                <w:rFonts w:hint="eastAsia" w:ascii="宋体" w:hAnsi="宋体" w:cs="宋体"/>
                <w:color w:val="auto"/>
                <w:szCs w:val="21"/>
                <w:highlight w:val="none"/>
              </w:rPr>
            </w:pPr>
          </w:p>
        </w:tc>
        <w:tc>
          <w:tcPr>
            <w:tcW w:w="502" w:type="pct"/>
            <w:vAlign w:val="center"/>
          </w:tcPr>
          <w:p w14:paraId="412A7567">
            <w:pPr>
              <w:keepNext/>
              <w:spacing w:line="360" w:lineRule="auto"/>
              <w:jc w:val="center"/>
              <w:rPr>
                <w:rFonts w:hint="eastAsia" w:ascii="宋体" w:hAnsi="宋体" w:cs="宋体"/>
                <w:color w:val="auto"/>
                <w:szCs w:val="21"/>
                <w:highlight w:val="none"/>
              </w:rPr>
            </w:pPr>
          </w:p>
        </w:tc>
        <w:tc>
          <w:tcPr>
            <w:tcW w:w="502" w:type="pct"/>
            <w:vAlign w:val="center"/>
          </w:tcPr>
          <w:p w14:paraId="242E5426">
            <w:pPr>
              <w:keepNext/>
              <w:spacing w:line="360" w:lineRule="auto"/>
              <w:jc w:val="center"/>
              <w:rPr>
                <w:rFonts w:hint="eastAsia" w:ascii="宋体" w:hAnsi="宋体" w:cs="宋体"/>
                <w:color w:val="auto"/>
                <w:szCs w:val="21"/>
                <w:highlight w:val="none"/>
              </w:rPr>
            </w:pPr>
          </w:p>
        </w:tc>
        <w:tc>
          <w:tcPr>
            <w:tcW w:w="1279" w:type="pct"/>
            <w:vAlign w:val="center"/>
          </w:tcPr>
          <w:p w14:paraId="42396CE7">
            <w:pPr>
              <w:keepNext/>
              <w:spacing w:line="360" w:lineRule="auto"/>
              <w:jc w:val="center"/>
              <w:rPr>
                <w:rFonts w:hint="eastAsia" w:ascii="宋体" w:hAnsi="宋体" w:cs="宋体"/>
                <w:color w:val="auto"/>
                <w:szCs w:val="21"/>
                <w:highlight w:val="none"/>
              </w:rPr>
            </w:pPr>
          </w:p>
        </w:tc>
        <w:tc>
          <w:tcPr>
            <w:tcW w:w="1153" w:type="pct"/>
          </w:tcPr>
          <w:p w14:paraId="402817CB">
            <w:pPr>
              <w:keepNext/>
              <w:spacing w:line="360" w:lineRule="auto"/>
              <w:jc w:val="center"/>
              <w:rPr>
                <w:rFonts w:hint="eastAsia" w:ascii="宋体" w:hAnsi="宋体" w:cs="宋体"/>
                <w:color w:val="auto"/>
                <w:szCs w:val="21"/>
                <w:highlight w:val="none"/>
              </w:rPr>
            </w:pPr>
          </w:p>
        </w:tc>
      </w:tr>
      <w:tr w14:paraId="68EFC7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tcBorders>
              <w:bottom w:val="single" w:color="auto" w:sz="12" w:space="0"/>
            </w:tcBorders>
            <w:vAlign w:val="center"/>
          </w:tcPr>
          <w:p w14:paraId="2C969650">
            <w:pPr>
              <w:keepNext/>
              <w:spacing w:line="360" w:lineRule="auto"/>
              <w:jc w:val="center"/>
              <w:rPr>
                <w:rFonts w:hint="eastAsia" w:ascii="宋体" w:hAnsi="宋体" w:cs="宋体"/>
                <w:color w:val="auto"/>
                <w:szCs w:val="21"/>
                <w:highlight w:val="none"/>
              </w:rPr>
            </w:pPr>
          </w:p>
        </w:tc>
        <w:tc>
          <w:tcPr>
            <w:tcW w:w="627" w:type="pct"/>
            <w:tcBorders>
              <w:bottom w:val="single" w:color="auto" w:sz="12" w:space="0"/>
            </w:tcBorders>
            <w:vAlign w:val="center"/>
          </w:tcPr>
          <w:p w14:paraId="2D626B6E">
            <w:pPr>
              <w:keepNext/>
              <w:spacing w:line="360" w:lineRule="auto"/>
              <w:jc w:val="center"/>
              <w:rPr>
                <w:rFonts w:hint="eastAsia" w:ascii="宋体" w:hAnsi="宋体" w:cs="宋体"/>
                <w:color w:val="auto"/>
                <w:szCs w:val="21"/>
                <w:highlight w:val="none"/>
              </w:rPr>
            </w:pPr>
          </w:p>
        </w:tc>
        <w:tc>
          <w:tcPr>
            <w:tcW w:w="502" w:type="pct"/>
            <w:tcBorders>
              <w:bottom w:val="single" w:color="auto" w:sz="12" w:space="0"/>
            </w:tcBorders>
            <w:vAlign w:val="center"/>
          </w:tcPr>
          <w:p w14:paraId="310DD022">
            <w:pPr>
              <w:keepNext/>
              <w:spacing w:line="360" w:lineRule="auto"/>
              <w:jc w:val="center"/>
              <w:rPr>
                <w:rFonts w:hint="eastAsia" w:ascii="宋体" w:hAnsi="宋体" w:cs="宋体"/>
                <w:color w:val="auto"/>
                <w:szCs w:val="21"/>
                <w:highlight w:val="none"/>
              </w:rPr>
            </w:pPr>
          </w:p>
        </w:tc>
        <w:tc>
          <w:tcPr>
            <w:tcW w:w="502" w:type="pct"/>
            <w:tcBorders>
              <w:bottom w:val="single" w:color="auto" w:sz="12" w:space="0"/>
            </w:tcBorders>
            <w:vAlign w:val="center"/>
          </w:tcPr>
          <w:p w14:paraId="269612A8">
            <w:pPr>
              <w:keepNext/>
              <w:spacing w:line="360" w:lineRule="auto"/>
              <w:jc w:val="center"/>
              <w:rPr>
                <w:rFonts w:hint="eastAsia" w:ascii="宋体" w:hAnsi="宋体" w:cs="宋体"/>
                <w:color w:val="auto"/>
                <w:szCs w:val="21"/>
                <w:highlight w:val="none"/>
              </w:rPr>
            </w:pPr>
          </w:p>
        </w:tc>
        <w:tc>
          <w:tcPr>
            <w:tcW w:w="1279" w:type="pct"/>
            <w:tcBorders>
              <w:bottom w:val="single" w:color="auto" w:sz="12" w:space="0"/>
            </w:tcBorders>
            <w:vAlign w:val="center"/>
          </w:tcPr>
          <w:p w14:paraId="0EA68ECF">
            <w:pPr>
              <w:keepNext/>
              <w:spacing w:line="360" w:lineRule="auto"/>
              <w:jc w:val="center"/>
              <w:rPr>
                <w:rFonts w:hint="eastAsia" w:ascii="宋体" w:hAnsi="宋体" w:cs="宋体"/>
                <w:color w:val="auto"/>
                <w:szCs w:val="21"/>
                <w:highlight w:val="none"/>
              </w:rPr>
            </w:pPr>
          </w:p>
        </w:tc>
        <w:tc>
          <w:tcPr>
            <w:tcW w:w="1153" w:type="pct"/>
            <w:tcBorders>
              <w:bottom w:val="single" w:color="auto" w:sz="12" w:space="0"/>
            </w:tcBorders>
          </w:tcPr>
          <w:p w14:paraId="627D76DB">
            <w:pPr>
              <w:keepNext/>
              <w:spacing w:line="360" w:lineRule="auto"/>
              <w:jc w:val="center"/>
              <w:rPr>
                <w:rFonts w:hint="eastAsia" w:ascii="宋体" w:hAnsi="宋体" w:cs="宋体"/>
                <w:color w:val="auto"/>
                <w:szCs w:val="21"/>
                <w:highlight w:val="none"/>
              </w:rPr>
            </w:pPr>
          </w:p>
        </w:tc>
      </w:tr>
    </w:tbl>
    <w:p w14:paraId="31BD4C40">
      <w:pPr>
        <w:pStyle w:val="44"/>
        <w:spacing w:before="120" w:beforeLines="50" w:after="120" w:afterLines="50" w:line="440" w:lineRule="exact"/>
        <w:rPr>
          <w:bCs/>
          <w:color w:val="auto"/>
          <w:szCs w:val="32"/>
          <w:highlight w:val="none"/>
        </w:rPr>
      </w:pPr>
    </w:p>
    <w:p w14:paraId="6EDEBE5B">
      <w:pPr>
        <w:rPr>
          <w:rFonts w:hint="eastAsia" w:ascii="宋体" w:hAnsi="宋体" w:cs="宋体"/>
          <w:bCs/>
          <w:color w:val="auto"/>
          <w:sz w:val="24"/>
          <w:highlight w:val="none"/>
        </w:rPr>
      </w:pPr>
      <w:bookmarkStart w:id="940" w:name="_Toc95223495"/>
      <w:bookmarkStart w:id="941" w:name="_Toc25726"/>
      <w:bookmarkStart w:id="942" w:name="_Toc7655"/>
      <w:r>
        <w:rPr>
          <w:rFonts w:hint="eastAsia" w:ascii="宋体" w:hAnsi="宋体" w:cs="宋体"/>
          <w:bCs/>
          <w:color w:val="auto"/>
          <w:sz w:val="24"/>
          <w:highlight w:val="none"/>
        </w:rPr>
        <w:br w:type="page"/>
      </w:r>
    </w:p>
    <w:p w14:paraId="1B2EAE91">
      <w:pPr>
        <w:keepNext/>
        <w:keepLines/>
        <w:spacing w:before="120" w:after="120" w:line="360" w:lineRule="auto"/>
        <w:jc w:val="left"/>
        <w:outlineLvl w:val="0"/>
        <w:rPr>
          <w:rFonts w:hint="eastAsia" w:ascii="宋体" w:hAnsi="宋体" w:cs="宋体"/>
          <w:bCs/>
          <w:color w:val="auto"/>
          <w:sz w:val="24"/>
          <w:highlight w:val="none"/>
        </w:rPr>
      </w:pPr>
      <w:bookmarkStart w:id="943" w:name="_Toc3028"/>
      <w:bookmarkStart w:id="944" w:name="_Toc9955"/>
      <w:r>
        <w:rPr>
          <w:rFonts w:hint="eastAsia" w:ascii="宋体" w:hAnsi="宋体" w:cs="宋体"/>
          <w:bCs/>
          <w:color w:val="auto"/>
          <w:sz w:val="24"/>
          <w:highlight w:val="none"/>
        </w:rPr>
        <w:t>附</w:t>
      </w:r>
      <w:bookmarkStart w:id="945" w:name="_Toc296503231"/>
      <w:bookmarkStart w:id="946" w:name="_Toc296891271"/>
      <w:bookmarkStart w:id="947" w:name="_Toc296891059"/>
      <w:bookmarkStart w:id="948" w:name="_Toc296347230"/>
      <w:bookmarkStart w:id="949" w:name="_Toc296346732"/>
      <w:bookmarkStart w:id="950" w:name="_Toc296944570"/>
      <w:r>
        <w:rPr>
          <w:rFonts w:hint="eastAsia" w:ascii="宋体" w:hAnsi="宋体" w:cs="宋体"/>
          <w:bCs/>
          <w:color w:val="auto"/>
          <w:sz w:val="24"/>
          <w:highlight w:val="none"/>
        </w:rPr>
        <w:t>件6：廉政协议</w:t>
      </w:r>
      <w:bookmarkEnd w:id="940"/>
      <w:bookmarkEnd w:id="941"/>
      <w:bookmarkEnd w:id="942"/>
      <w:bookmarkEnd w:id="943"/>
      <w:bookmarkEnd w:id="944"/>
    </w:p>
    <w:bookmarkEnd w:id="945"/>
    <w:bookmarkEnd w:id="946"/>
    <w:bookmarkEnd w:id="947"/>
    <w:bookmarkEnd w:id="948"/>
    <w:bookmarkEnd w:id="949"/>
    <w:bookmarkEnd w:id="950"/>
    <w:p w14:paraId="460181CB">
      <w:pPr>
        <w:widowControl/>
        <w:spacing w:line="360" w:lineRule="auto"/>
        <w:ind w:firstLine="643"/>
        <w:jc w:val="center"/>
        <w:outlineLvl w:val="0"/>
        <w:rPr>
          <w:rFonts w:hint="eastAsia" w:ascii="宋体" w:hAnsi="宋体" w:cs="宋体"/>
          <w:b/>
          <w:bCs/>
          <w:color w:val="auto"/>
          <w:kern w:val="0"/>
          <w:sz w:val="32"/>
          <w:szCs w:val="32"/>
          <w:highlight w:val="none"/>
        </w:rPr>
      </w:pPr>
      <w:bookmarkStart w:id="951" w:name="_Toc26092"/>
      <w:bookmarkStart w:id="952" w:name="_Toc95223496"/>
      <w:bookmarkStart w:id="953" w:name="_Toc9808"/>
      <w:bookmarkStart w:id="954" w:name="_Toc26094"/>
      <w:bookmarkStart w:id="955" w:name="_Toc7607"/>
      <w:r>
        <w:rPr>
          <w:rFonts w:hint="eastAsia" w:ascii="宋体" w:hAnsi="宋体" w:cs="宋体"/>
          <w:b/>
          <w:bCs/>
          <w:color w:val="auto"/>
          <w:kern w:val="0"/>
          <w:sz w:val="32"/>
          <w:szCs w:val="32"/>
          <w:highlight w:val="none"/>
        </w:rPr>
        <w:t>廉 政 协 议</w:t>
      </w:r>
      <w:bookmarkEnd w:id="951"/>
      <w:bookmarkEnd w:id="952"/>
      <w:bookmarkEnd w:id="953"/>
      <w:bookmarkEnd w:id="954"/>
      <w:bookmarkEnd w:id="955"/>
    </w:p>
    <w:p w14:paraId="773A0C5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为促进双方诚信经营、廉洁从业，防范商业贿赂，保护国家、集体和当事人的合法权益，根据国家有关法律法规和安徽省、项目所在地廉政建设的规定，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(以下称甲方)与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(以下称乙方)，特此订立本协议共同遵照执行。</w:t>
      </w:r>
    </w:p>
    <w:p w14:paraId="1C69AB76">
      <w:pPr>
        <w:widowControl/>
        <w:spacing w:line="360" w:lineRule="auto"/>
        <w:ind w:firstLine="420" w:firstLineChars="200"/>
        <w:jc w:val="left"/>
        <w:outlineLvl w:val="0"/>
        <w:rPr>
          <w:rFonts w:hint="eastAsia" w:ascii="宋体" w:hAnsi="宋体" w:cs="宋体"/>
          <w:color w:val="auto"/>
          <w:kern w:val="0"/>
          <w:szCs w:val="21"/>
          <w:highlight w:val="none"/>
        </w:rPr>
      </w:pPr>
      <w:bookmarkStart w:id="956" w:name="_Toc9888"/>
      <w:bookmarkStart w:id="957" w:name="_Toc23614"/>
      <w:bookmarkStart w:id="958" w:name="_Toc10794"/>
      <w:bookmarkStart w:id="959" w:name="_Toc21306"/>
      <w:bookmarkStart w:id="960" w:name="_Toc95223497"/>
      <w:r>
        <w:rPr>
          <w:rFonts w:hint="eastAsia" w:ascii="宋体" w:hAnsi="宋体" w:cs="宋体"/>
          <w:color w:val="auto"/>
          <w:kern w:val="0"/>
          <w:szCs w:val="21"/>
          <w:highlight w:val="none"/>
        </w:rPr>
        <w:t>第一条 甲乙双方的权利和义务</w:t>
      </w:r>
      <w:bookmarkEnd w:id="956"/>
      <w:bookmarkEnd w:id="957"/>
      <w:bookmarkEnd w:id="958"/>
      <w:bookmarkEnd w:id="959"/>
      <w:bookmarkEnd w:id="960"/>
    </w:p>
    <w:p w14:paraId="3235ED0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0BD0B23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（二）严格执行</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的合同要求，自觉履行合同约定的相关义务。</w:t>
      </w:r>
    </w:p>
    <w:p w14:paraId="6997E53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（三）在业务活动中坚持公开、公正、诚信、透明的原则，不得损害国家、集体利益。</w:t>
      </w:r>
    </w:p>
    <w:p w14:paraId="1A06D69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（四）建立健全廉政制度，开展廉政教育，公布举报电话，监督并认真查处违法违纪行为。</w:t>
      </w:r>
    </w:p>
    <w:p w14:paraId="73BCAA2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（五）发现对方在业务活动中有违反廉政规定的行为，应及时提醒对方纠正。情节严重的，应向其上级有关部门举报、建议给予处理，并有权要求告知处理结果。</w:t>
      </w:r>
    </w:p>
    <w:p w14:paraId="634E1518">
      <w:pPr>
        <w:widowControl/>
        <w:spacing w:line="360" w:lineRule="auto"/>
        <w:ind w:firstLine="420" w:firstLineChars="200"/>
        <w:jc w:val="left"/>
        <w:outlineLvl w:val="0"/>
        <w:rPr>
          <w:rFonts w:hint="eastAsia" w:ascii="宋体" w:hAnsi="宋体" w:cs="宋体"/>
          <w:color w:val="auto"/>
          <w:kern w:val="0"/>
          <w:szCs w:val="21"/>
          <w:highlight w:val="none"/>
        </w:rPr>
      </w:pPr>
      <w:bookmarkStart w:id="961" w:name="_Toc1917"/>
      <w:bookmarkStart w:id="962" w:name="_Toc3866"/>
      <w:bookmarkStart w:id="963" w:name="_Toc95223498"/>
      <w:bookmarkStart w:id="964" w:name="_Toc27534"/>
      <w:bookmarkStart w:id="965" w:name="_Toc20007"/>
      <w:r>
        <w:rPr>
          <w:rFonts w:hint="eastAsia" w:ascii="宋体" w:hAnsi="宋体" w:cs="宋体"/>
          <w:color w:val="auto"/>
          <w:kern w:val="0"/>
          <w:szCs w:val="21"/>
          <w:highlight w:val="none"/>
        </w:rPr>
        <w:t>第二条 甲方的义务</w:t>
      </w:r>
      <w:bookmarkEnd w:id="961"/>
      <w:bookmarkEnd w:id="962"/>
      <w:bookmarkEnd w:id="963"/>
      <w:bookmarkEnd w:id="964"/>
      <w:bookmarkEnd w:id="965"/>
    </w:p>
    <w:p w14:paraId="39A6A7AE">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(一)甲方及其工作人员不得索要或接受乙方的礼金、有价证券和贵重物品，不得在乙方报销任何应由甲方单位或个人支付的费用等。</w:t>
      </w:r>
    </w:p>
    <w:p w14:paraId="35E37D0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663E7AC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 甲方及其工作人员不得要求或者接受乙方为其住房装修、婚丧嫁娶活动、配偶子女工作安排以及出国出境、旅游等提供方便等。</w:t>
      </w:r>
    </w:p>
    <w:p w14:paraId="182631E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 甲方工作人员不得在乙方有股权关联的企业兼职，不得向乙方介绍家属或者亲友从事与甲方业务有关的经济活动。</w:t>
      </w:r>
    </w:p>
    <w:p w14:paraId="74ED4E6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6D704A6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（六）甲方工作人员不得利用职务之便收受乙方以回扣、手续费、加班费、咨询费、劳务费、协调费、辛苦费等各种名义给予或赠送的钱物。</w:t>
      </w:r>
    </w:p>
    <w:p w14:paraId="7AF82E6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（七）甲方工作人员不得接受乙方给予或赠送的干股或红利。</w:t>
      </w:r>
    </w:p>
    <w:p w14:paraId="4C18B4E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（八）甲方任何人不得以个人的名义向乙方推荐设备、部件等供货商以及其他合作单位。</w:t>
      </w:r>
    </w:p>
    <w:p w14:paraId="4AA71B1A">
      <w:pPr>
        <w:widowControl/>
        <w:spacing w:line="360" w:lineRule="auto"/>
        <w:ind w:firstLine="420" w:firstLineChars="200"/>
        <w:jc w:val="left"/>
        <w:outlineLvl w:val="0"/>
        <w:rPr>
          <w:rFonts w:hint="eastAsia" w:ascii="宋体" w:hAnsi="宋体" w:cs="宋体"/>
          <w:color w:val="auto"/>
          <w:kern w:val="0"/>
          <w:szCs w:val="21"/>
          <w:highlight w:val="none"/>
        </w:rPr>
      </w:pPr>
      <w:bookmarkStart w:id="966" w:name="_Toc10556"/>
      <w:bookmarkStart w:id="967" w:name="_Toc11255"/>
      <w:bookmarkStart w:id="968" w:name="_Toc20831"/>
      <w:bookmarkStart w:id="969" w:name="_Toc95223499"/>
      <w:bookmarkStart w:id="970" w:name="_Toc27727"/>
      <w:r>
        <w:rPr>
          <w:rFonts w:hint="eastAsia" w:ascii="宋体" w:hAnsi="宋体" w:cs="宋体"/>
          <w:color w:val="auto"/>
          <w:kern w:val="0"/>
          <w:szCs w:val="21"/>
          <w:highlight w:val="none"/>
        </w:rPr>
        <w:t>第三条 乙方的义务</w:t>
      </w:r>
      <w:bookmarkEnd w:id="966"/>
      <w:bookmarkEnd w:id="967"/>
      <w:bookmarkEnd w:id="968"/>
      <w:bookmarkEnd w:id="969"/>
      <w:bookmarkEnd w:id="970"/>
    </w:p>
    <w:p w14:paraId="743D7241">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(一)乙方不得以任何理由向甲方及其工作人员行贿或馈赠礼金、有价证券、贵重礼品。</w:t>
      </w:r>
    </w:p>
    <w:p w14:paraId="255BE96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（二)乙方不得以任何名义为甲方及其工作人员报销应由甲方单位或个人支付的任何费用。</w:t>
      </w:r>
    </w:p>
    <w:p w14:paraId="78E6FC0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(三)乙方不得以任何理由安排甲方工作人员参加可能影响相关业务公开、公正、公平性的宴请及娱乐活动。</w:t>
      </w:r>
    </w:p>
    <w:p w14:paraId="5C0F577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（四）乙方不得为甲方单位和个人购置或提供通讯工具和高档办公用品等物品，也不得为甲方提供与工作无关的房屋、汽车等。</w:t>
      </w:r>
    </w:p>
    <w:p w14:paraId="51DB5E05">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（五）乙方不得与甲方工作人员就合同中的质量、数量、价格、工程量、验收等条款进行私下商谈或者达成默契。</w:t>
      </w:r>
    </w:p>
    <w:p w14:paraId="0591CC0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（六）乙方不得以回扣、手续费、加班费、咨询费、劳务费、协调费、辛苦费等各种名义向甲方工作人员给予或赠送钱物。</w:t>
      </w:r>
    </w:p>
    <w:p w14:paraId="7B8D9EC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（七）乙方不得向甲方工作人员提供干股或红利。</w:t>
      </w:r>
    </w:p>
    <w:p w14:paraId="3DD56D8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（八）乙方须按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专项纪检监察工作组(如有)要求开展相关工作。</w:t>
      </w:r>
    </w:p>
    <w:p w14:paraId="4AA41370">
      <w:pPr>
        <w:widowControl/>
        <w:spacing w:line="360" w:lineRule="auto"/>
        <w:ind w:firstLine="420" w:firstLineChars="200"/>
        <w:jc w:val="left"/>
        <w:outlineLvl w:val="0"/>
        <w:rPr>
          <w:rFonts w:hint="eastAsia" w:ascii="宋体" w:hAnsi="宋体" w:cs="宋体"/>
          <w:color w:val="auto"/>
          <w:kern w:val="0"/>
          <w:szCs w:val="21"/>
          <w:highlight w:val="none"/>
        </w:rPr>
      </w:pPr>
      <w:bookmarkStart w:id="971" w:name="_Toc2198"/>
      <w:bookmarkStart w:id="972" w:name="_Toc7904"/>
      <w:bookmarkStart w:id="973" w:name="_Toc14507"/>
      <w:bookmarkStart w:id="974" w:name="_Toc4145"/>
      <w:bookmarkStart w:id="975" w:name="_Toc95223500"/>
      <w:r>
        <w:rPr>
          <w:rFonts w:hint="eastAsia" w:ascii="宋体" w:hAnsi="宋体" w:cs="宋体"/>
          <w:color w:val="auto"/>
          <w:kern w:val="0"/>
          <w:szCs w:val="21"/>
          <w:highlight w:val="none"/>
        </w:rPr>
        <w:t>第四条 违约责任</w:t>
      </w:r>
      <w:bookmarkEnd w:id="971"/>
      <w:bookmarkEnd w:id="972"/>
      <w:bookmarkEnd w:id="973"/>
      <w:bookmarkEnd w:id="974"/>
      <w:bookmarkEnd w:id="975"/>
    </w:p>
    <w:p w14:paraId="38E19C6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73FFFC7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甲方投诉联系部门：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7EB9FE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（二）乙方及其工作人员违反本协议第一、三条规定。根据具体情节和造成的后果，甲方有权对乙方采取以下一种或多种处理办法：</w:t>
      </w:r>
    </w:p>
    <w:p w14:paraId="1A43450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 全额收取乙方合同履约保证金不予退还； </w:t>
      </w:r>
    </w:p>
    <w:p w14:paraId="45D364A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 追究乙方其他违约责任；</w:t>
      </w:r>
    </w:p>
    <w:p w14:paraId="7E3490C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 终止或解除双方已签订的包括本合同在内的所有合同；</w:t>
      </w:r>
    </w:p>
    <w:p w14:paraId="3E34717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 乙方一定期限内（6个月至3年，具体由甲方根据情况而定）不得参与甲方作为发包人（业主）的工程项目投标。</w:t>
      </w:r>
    </w:p>
    <w:p w14:paraId="06F469D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甲方作出的处理意见，乙方应无条件接受并承担给甲方造成的损失，全额返还通过不正当手段从甲方获取的非法所得，并承担相应的法律责任。</w:t>
      </w:r>
    </w:p>
    <w:p w14:paraId="11320158">
      <w:pPr>
        <w:widowControl/>
        <w:spacing w:line="360" w:lineRule="auto"/>
        <w:ind w:firstLine="420" w:firstLineChars="200"/>
        <w:jc w:val="left"/>
        <w:outlineLvl w:val="0"/>
        <w:rPr>
          <w:rFonts w:hint="eastAsia" w:ascii="宋体" w:hAnsi="宋体" w:cs="宋体"/>
          <w:color w:val="auto"/>
          <w:kern w:val="0"/>
          <w:szCs w:val="21"/>
          <w:highlight w:val="none"/>
        </w:rPr>
      </w:pPr>
      <w:bookmarkStart w:id="976" w:name="_Toc2334"/>
      <w:bookmarkStart w:id="977" w:name="_Toc26114"/>
      <w:bookmarkStart w:id="978" w:name="_Toc10228"/>
      <w:bookmarkStart w:id="979" w:name="_Toc6544"/>
      <w:bookmarkStart w:id="980" w:name="_Toc95223501"/>
      <w:r>
        <w:rPr>
          <w:rFonts w:hint="eastAsia" w:ascii="宋体" w:hAnsi="宋体" w:cs="宋体"/>
          <w:color w:val="auto"/>
          <w:kern w:val="0"/>
          <w:szCs w:val="21"/>
          <w:highlight w:val="none"/>
        </w:rPr>
        <w:t>第五条 双方约定</w:t>
      </w:r>
      <w:bookmarkEnd w:id="976"/>
      <w:bookmarkEnd w:id="977"/>
      <w:bookmarkEnd w:id="978"/>
      <w:bookmarkEnd w:id="979"/>
      <w:bookmarkEnd w:id="980"/>
    </w:p>
    <w:p w14:paraId="6F848AF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2B25E032">
      <w:pPr>
        <w:widowControl/>
        <w:spacing w:line="360" w:lineRule="auto"/>
        <w:ind w:firstLine="420" w:firstLineChars="200"/>
        <w:jc w:val="left"/>
        <w:outlineLvl w:val="0"/>
        <w:rPr>
          <w:rFonts w:hint="eastAsia" w:ascii="宋体" w:hAnsi="宋体" w:cs="宋体"/>
          <w:color w:val="auto"/>
          <w:kern w:val="0"/>
          <w:szCs w:val="21"/>
          <w:highlight w:val="none"/>
        </w:rPr>
      </w:pPr>
      <w:bookmarkStart w:id="981" w:name="_Toc95223502"/>
      <w:bookmarkStart w:id="982" w:name="_Toc8779"/>
      <w:bookmarkStart w:id="983" w:name="_Toc10240"/>
      <w:bookmarkStart w:id="984" w:name="_Toc17717"/>
      <w:bookmarkStart w:id="985" w:name="_Toc32140"/>
      <w:r>
        <w:rPr>
          <w:rFonts w:hint="eastAsia" w:ascii="宋体" w:hAnsi="宋体" w:cs="宋体"/>
          <w:color w:val="auto"/>
          <w:kern w:val="0"/>
          <w:szCs w:val="21"/>
          <w:highlight w:val="none"/>
        </w:rPr>
        <w:t>第六条  本协议有效期为甲乙双方签署之日起至合同终止。</w:t>
      </w:r>
      <w:bookmarkEnd w:id="981"/>
      <w:bookmarkEnd w:id="982"/>
      <w:bookmarkEnd w:id="983"/>
      <w:bookmarkEnd w:id="984"/>
      <w:bookmarkEnd w:id="985"/>
      <w:r>
        <w:rPr>
          <w:rFonts w:hint="eastAsia" w:ascii="宋体" w:hAnsi="宋体" w:cs="宋体"/>
          <w:color w:val="auto"/>
          <w:kern w:val="0"/>
          <w:szCs w:val="21"/>
          <w:highlight w:val="none"/>
        </w:rPr>
        <w:t xml:space="preserve">  </w:t>
      </w:r>
    </w:p>
    <w:p w14:paraId="5FE1E566">
      <w:pPr>
        <w:widowControl/>
        <w:spacing w:line="360" w:lineRule="auto"/>
        <w:ind w:firstLine="420" w:firstLineChars="200"/>
        <w:jc w:val="left"/>
        <w:outlineLvl w:val="0"/>
        <w:rPr>
          <w:rFonts w:hint="eastAsia" w:ascii="宋体" w:hAnsi="宋体" w:cs="宋体"/>
          <w:color w:val="auto"/>
          <w:kern w:val="0"/>
          <w:szCs w:val="21"/>
          <w:highlight w:val="none"/>
        </w:rPr>
      </w:pPr>
      <w:bookmarkStart w:id="986" w:name="_Toc24032"/>
      <w:bookmarkStart w:id="987" w:name="_Toc1871"/>
      <w:bookmarkStart w:id="988" w:name="_Toc22264"/>
      <w:bookmarkStart w:id="989" w:name="_Toc28117"/>
      <w:bookmarkStart w:id="990" w:name="_Toc95223503"/>
      <w:r>
        <w:rPr>
          <w:rFonts w:hint="eastAsia" w:ascii="宋体" w:hAnsi="宋体" w:cs="宋体"/>
          <w:color w:val="auto"/>
          <w:kern w:val="0"/>
          <w:szCs w:val="21"/>
          <w:highlight w:val="none"/>
        </w:rPr>
        <w:t>第七条  本协议作为合同的附件，与本合同具有同等法律效力。</w:t>
      </w:r>
      <w:bookmarkEnd w:id="986"/>
      <w:bookmarkEnd w:id="987"/>
      <w:bookmarkEnd w:id="988"/>
      <w:bookmarkEnd w:id="989"/>
      <w:bookmarkEnd w:id="990"/>
    </w:p>
    <w:p w14:paraId="5A2A916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729168C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甲方（盖章）：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乙方（盖章）：</w:t>
      </w:r>
      <w:r>
        <w:rPr>
          <w:rFonts w:hint="eastAsia" w:ascii="宋体" w:hAnsi="宋体" w:cs="宋体"/>
          <w:color w:val="auto"/>
          <w:kern w:val="0"/>
          <w:szCs w:val="21"/>
          <w:highlight w:val="none"/>
          <w:u w:val="single"/>
        </w:rPr>
        <w:t xml:space="preserve">                      </w:t>
      </w:r>
    </w:p>
    <w:p w14:paraId="20B1AEDA">
      <w:pPr>
        <w:widowControl/>
        <w:spacing w:line="360" w:lineRule="auto"/>
        <w:ind w:firstLine="420" w:firstLineChars="200"/>
        <w:jc w:val="left"/>
        <w:rPr>
          <w:rFonts w:hint="eastAsia" w:ascii="宋体" w:hAnsi="宋体" w:cs="宋体"/>
          <w:color w:val="auto"/>
          <w:kern w:val="0"/>
          <w:szCs w:val="21"/>
          <w:highlight w:val="none"/>
        </w:rPr>
      </w:pPr>
    </w:p>
    <w:p w14:paraId="736A4DC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                                法定代表人或</w:t>
      </w:r>
    </w:p>
    <w:p w14:paraId="4E786F3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              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p>
    <w:p w14:paraId="34FFFD6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46197F4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1E582D8F">
      <w:pPr>
        <w:widowControl/>
        <w:spacing w:line="360" w:lineRule="auto"/>
        <w:ind w:firstLine="420" w:firstLineChars="200"/>
        <w:jc w:val="left"/>
        <w:rPr>
          <w:rFonts w:hint="eastAsia" w:ascii="宋体" w:hAnsi="宋体" w:cs="宋体"/>
          <w:color w:val="auto"/>
          <w:kern w:val="0"/>
          <w:szCs w:val="21"/>
          <w:highlight w:val="none"/>
        </w:rPr>
      </w:pPr>
    </w:p>
    <w:p w14:paraId="106FAC2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廉政监督联系人                              廉政监督联系人</w:t>
      </w:r>
    </w:p>
    <w:p w14:paraId="0828993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17CE8FA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60370B2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电话：</w:t>
      </w:r>
      <w:r>
        <w:rPr>
          <w:rFonts w:hint="eastAsia" w:ascii="宋体" w:hAnsi="宋体" w:cs="宋体"/>
          <w:color w:val="auto"/>
          <w:kern w:val="0"/>
          <w:szCs w:val="21"/>
          <w:highlight w:val="none"/>
          <w:u w:val="single"/>
        </w:rPr>
        <w:t xml:space="preserve">                       </w:t>
      </w:r>
    </w:p>
    <w:p w14:paraId="58E8EC64">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地址：</w:t>
      </w:r>
      <w:r>
        <w:rPr>
          <w:rFonts w:hint="eastAsia" w:ascii="宋体" w:hAnsi="宋体" w:cs="宋体"/>
          <w:color w:val="auto"/>
          <w:kern w:val="0"/>
          <w:szCs w:val="21"/>
          <w:highlight w:val="none"/>
          <w:u w:val="single"/>
        </w:rPr>
        <w:t xml:space="preserve">                       </w:t>
      </w:r>
    </w:p>
    <w:p w14:paraId="21AF69C1">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日期：</w:t>
      </w:r>
      <w:r>
        <w:rPr>
          <w:rFonts w:hint="eastAsia" w:ascii="宋体" w:hAnsi="宋体" w:cs="宋体"/>
          <w:color w:val="auto"/>
          <w:kern w:val="0"/>
          <w:szCs w:val="21"/>
          <w:highlight w:val="none"/>
          <w:u w:val="single"/>
        </w:rPr>
        <w:t xml:space="preserve">                       </w:t>
      </w:r>
    </w:p>
    <w:p w14:paraId="19D59BA7">
      <w:pPr>
        <w:keepNext/>
        <w:keepLines/>
        <w:spacing w:before="120" w:after="120" w:line="360" w:lineRule="auto"/>
        <w:jc w:val="left"/>
        <w:outlineLvl w:val="2"/>
        <w:rPr>
          <w:rFonts w:hint="eastAsia" w:ascii="宋体" w:hAnsi="宋体" w:cs="宋体"/>
          <w:color w:val="auto"/>
          <w:szCs w:val="21"/>
          <w:highlight w:val="none"/>
        </w:rPr>
      </w:pPr>
      <w:r>
        <w:rPr>
          <w:rFonts w:hint="eastAsia" w:ascii="宋体" w:hAnsi="宋体" w:cs="宋体"/>
          <w:bCs/>
          <w:color w:val="auto"/>
          <w:kern w:val="0"/>
          <w:sz w:val="24"/>
          <w:szCs w:val="21"/>
          <w:highlight w:val="none"/>
        </w:rPr>
        <w:br w:type="page"/>
      </w:r>
      <w:bookmarkStart w:id="991" w:name="_Toc95223504"/>
      <w:r>
        <w:rPr>
          <w:rFonts w:hint="eastAsia" w:ascii="宋体" w:hAnsi="宋体" w:cs="宋体"/>
          <w:bCs/>
          <w:color w:val="auto"/>
          <w:sz w:val="24"/>
          <w:highlight w:val="none"/>
        </w:rPr>
        <w:t>附件7：履约保证金</w:t>
      </w:r>
      <w:bookmarkEnd w:id="991"/>
    </w:p>
    <w:p w14:paraId="764FBEB2">
      <w:pPr>
        <w:adjustRightInd w:val="0"/>
        <w:snapToGrid w:val="0"/>
        <w:spacing w:line="360" w:lineRule="auto"/>
        <w:jc w:val="center"/>
        <w:outlineLvl w:val="0"/>
        <w:rPr>
          <w:rFonts w:hint="eastAsia" w:ascii="宋体" w:hAnsi="宋体" w:cs="宋体"/>
          <w:b/>
          <w:bCs/>
          <w:color w:val="auto"/>
          <w:sz w:val="32"/>
          <w:szCs w:val="32"/>
          <w:highlight w:val="none"/>
        </w:rPr>
      </w:pPr>
      <w:bookmarkStart w:id="992" w:name="_Toc28010"/>
      <w:bookmarkStart w:id="993" w:name="_Toc10681"/>
      <w:bookmarkStart w:id="994" w:name="_Toc25855"/>
      <w:bookmarkStart w:id="995" w:name="_Toc95223505"/>
      <w:bookmarkStart w:id="996" w:name="_Toc8655"/>
      <w:r>
        <w:rPr>
          <w:rFonts w:hint="eastAsia" w:ascii="宋体" w:hAnsi="宋体" w:cs="宋体"/>
          <w:b/>
          <w:bCs/>
          <w:color w:val="auto"/>
          <w:sz w:val="32"/>
          <w:szCs w:val="32"/>
          <w:highlight w:val="none"/>
        </w:rPr>
        <w:t>履约保函示范文本</w:t>
      </w:r>
      <w:bookmarkEnd w:id="992"/>
      <w:bookmarkEnd w:id="993"/>
      <w:bookmarkEnd w:id="994"/>
      <w:bookmarkEnd w:id="995"/>
      <w:bookmarkEnd w:id="996"/>
    </w:p>
    <w:p w14:paraId="7C74C1FF">
      <w:pPr>
        <w:wordWrap w:val="0"/>
        <w:adjustRightInd w:val="0"/>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编号：           </w:t>
      </w:r>
    </w:p>
    <w:p w14:paraId="271CCFA5">
      <w:pPr>
        <w:adjustRightInd w:val="0"/>
        <w:snapToGrid w:val="0"/>
        <w:spacing w:line="360" w:lineRule="auto"/>
        <w:rPr>
          <w:rFonts w:hint="eastAsia" w:ascii="宋体" w:hAnsi="宋体" w:cs="宋体"/>
          <w:color w:val="auto"/>
          <w:szCs w:val="21"/>
          <w:highlight w:val="none"/>
        </w:rPr>
      </w:pPr>
    </w:p>
    <w:p w14:paraId="67AA1C7D">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（受益人名称）： </w:t>
      </w:r>
    </w:p>
    <w:p w14:paraId="104F835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（标段编号）的</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（标段名称）</w:t>
      </w:r>
      <w:r>
        <w:rPr>
          <w:rFonts w:hint="eastAsia" w:ascii="宋体" w:hAnsi="宋体" w:cs="宋体"/>
          <w:color w:val="auto"/>
          <w:szCs w:val="21"/>
          <w:highlight w:val="none"/>
        </w:rPr>
        <w:t>有关事项协商一致共同签订</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2F658DE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一、本保函担保范围：承包人未按照基础合同的约定履行义务，应当向受益人承担的违约责任和赔偿因此造成的损失、利息、律师费、诉讼费用等实现债权的费用。</w:t>
      </w:r>
    </w:p>
    <w:p w14:paraId="065FDC6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978F2E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三、本保函有效期自开立之日起至基础合同约定的缺陷责任期满之日止。 </w:t>
      </w:r>
    </w:p>
    <w:p w14:paraId="6DC1D44E">
      <w:pPr>
        <w:adjustRightInd w:val="0"/>
        <w:snapToGrid w:val="0"/>
        <w:spacing w:line="360" w:lineRule="auto"/>
        <w:ind w:firstLine="480"/>
        <w:rPr>
          <w:rFonts w:hint="eastAsia" w:ascii="宋体" w:hAnsi="宋体" w:cs="宋体"/>
          <w:color w:val="auto"/>
          <w:szCs w:val="21"/>
          <w:highlight w:val="none"/>
        </w:rPr>
      </w:pPr>
      <w:bookmarkStart w:id="997" w:name="_Hlk40302764"/>
      <w:r>
        <w:rPr>
          <w:rFonts w:hint="eastAsia" w:ascii="宋体" w:hAnsi="宋体" w:cs="宋体"/>
          <w:color w:val="auto"/>
          <w:szCs w:val="21"/>
          <w:highlight w:val="none"/>
        </w:rPr>
        <w:t>四、开立人承诺，在收到受益人发来的书面付款通知后的七日内无条件支付，前述书面付款通知即为付款要求之单据，且应满足以下要求：</w:t>
      </w:r>
    </w:p>
    <w:bookmarkEnd w:id="997"/>
    <w:p w14:paraId="4186752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（1）付款通知到达的日期在本保函的有效期内；</w:t>
      </w:r>
    </w:p>
    <w:p w14:paraId="5AC2A85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（2）载明要求支付的金额；</w:t>
      </w:r>
    </w:p>
    <w:p w14:paraId="6410E0A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14:paraId="0A351F1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14:paraId="43DB894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（5）付款通知应在本保函有效期内到达的地址是：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1B9B3CE">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998" w:name="_Hlk40303486"/>
      <w:r>
        <w:rPr>
          <w:rFonts w:hint="eastAsia" w:ascii="宋体" w:hAnsi="宋体" w:cs="宋体"/>
          <w:color w:val="auto"/>
          <w:szCs w:val="21"/>
          <w:highlight w:val="none"/>
        </w:rPr>
        <w:t>受益人发出的书面付款通知应由其法定代表人（负责人）或授权代理人签字并加盖公章。</w:t>
      </w:r>
      <w:bookmarkEnd w:id="998"/>
    </w:p>
    <w:p w14:paraId="0628E37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五、本保函项下的权利不得转让，不得设定担保。受益人未经我方书面同意转 让本保函或其项下任何权利，对我方不发生法律效力。 </w:t>
      </w:r>
    </w:p>
    <w:p w14:paraId="1A91961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六、与本保函有关的基础合同不成立、不生效、无效、被撤销、被解除，不影响本保函的独立有效。 </w:t>
      </w:r>
    </w:p>
    <w:p w14:paraId="2C0AB913">
      <w:pPr>
        <w:adjustRightInd w:val="0"/>
        <w:snapToGrid w:val="0"/>
        <w:spacing w:line="360" w:lineRule="auto"/>
        <w:ind w:firstLine="420" w:firstLineChars="200"/>
        <w:rPr>
          <w:rFonts w:hint="eastAsia" w:ascii="宋体" w:hAnsi="宋体" w:cs="宋体"/>
          <w:color w:val="auto"/>
          <w:szCs w:val="21"/>
          <w:highlight w:val="none"/>
        </w:rPr>
      </w:pPr>
      <w:bookmarkStart w:id="999" w:name="_Hlk40303383"/>
      <w:bookmarkStart w:id="1000" w:name="_Hlk40354981"/>
      <w:r>
        <w:rPr>
          <w:rFonts w:hint="eastAsia" w:ascii="宋体" w:hAnsi="宋体" w:cs="宋体"/>
          <w:color w:val="auto"/>
          <w:szCs w:val="21"/>
          <w:highlight w:val="none"/>
        </w:rPr>
        <w:t xml:space="preserve">七、本保函项下的义务和责任均在保函有效期到期后自动消灭。 </w:t>
      </w:r>
    </w:p>
    <w:p w14:paraId="6756929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八、本保函适用的法律为中华人民共和国法律，因本保函产生的纠纷案件，</w:t>
      </w:r>
      <w:bookmarkEnd w:id="999"/>
      <w:r>
        <w:rPr>
          <w:rFonts w:hint="eastAsia" w:ascii="宋体" w:hAnsi="宋体" w:cs="宋体"/>
          <w:color w:val="auto"/>
          <w:szCs w:val="21"/>
          <w:highlight w:val="none"/>
        </w:rPr>
        <w:t xml:space="preserve">由受益人所在地人民法院管辖。 </w:t>
      </w:r>
    </w:p>
    <w:bookmarkEnd w:id="1000"/>
    <w:p w14:paraId="2EB8298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九、本保函自我方法定代表人或授权代表签字并加盖公章之日起生效。 </w:t>
      </w:r>
    </w:p>
    <w:p w14:paraId="60962EFA">
      <w:pPr>
        <w:adjustRightInd w:val="0"/>
        <w:snapToGrid w:val="0"/>
        <w:spacing w:line="360" w:lineRule="auto"/>
        <w:ind w:firstLine="420" w:firstLineChars="200"/>
        <w:rPr>
          <w:rFonts w:hint="eastAsia" w:ascii="宋体" w:hAnsi="宋体" w:cs="宋体"/>
          <w:color w:val="auto"/>
          <w:szCs w:val="21"/>
          <w:highlight w:val="none"/>
        </w:rPr>
      </w:pPr>
    </w:p>
    <w:p w14:paraId="47A106E0">
      <w:pPr>
        <w:adjustRightInd w:val="0"/>
        <w:snapToGrid w:val="0"/>
        <w:spacing w:line="360" w:lineRule="auto"/>
        <w:ind w:firstLine="420" w:firstLineChars="200"/>
        <w:rPr>
          <w:rFonts w:hint="eastAsia" w:ascii="宋体" w:hAnsi="宋体" w:cs="宋体"/>
          <w:color w:val="auto"/>
          <w:szCs w:val="21"/>
          <w:highlight w:val="none"/>
        </w:rPr>
      </w:pPr>
    </w:p>
    <w:p w14:paraId="7A8DE720">
      <w:pPr>
        <w:adjustRightInd w:val="0"/>
        <w:snapToGrid w:val="0"/>
        <w:spacing w:line="360" w:lineRule="auto"/>
        <w:ind w:firstLine="420" w:firstLineChars="200"/>
        <w:rPr>
          <w:rFonts w:hint="eastAsia" w:ascii="宋体" w:hAnsi="宋体" w:cs="宋体"/>
          <w:color w:val="auto"/>
          <w:szCs w:val="21"/>
          <w:highlight w:val="none"/>
        </w:rPr>
      </w:pPr>
    </w:p>
    <w:p w14:paraId="200A14B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 立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（公章） </w:t>
      </w:r>
    </w:p>
    <w:p w14:paraId="7744239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14:paraId="33CE95B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22580F0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5477704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59880638">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7B000DF3">
      <w:pPr>
        <w:adjustRightInd w:val="0"/>
        <w:snapToGrid w:val="0"/>
        <w:spacing w:line="360" w:lineRule="auto"/>
        <w:ind w:left="1323" w:leftChars="200" w:hanging="903" w:hangingChars="430"/>
        <w:rPr>
          <w:rFonts w:hint="eastAsia" w:ascii="宋体" w:hAnsi="宋体" w:cs="宋体"/>
          <w:color w:val="auto"/>
          <w:szCs w:val="21"/>
          <w:highlight w:val="none"/>
        </w:rPr>
      </w:pPr>
      <w:r>
        <w:rPr>
          <w:rFonts w:hint="eastAsia" w:ascii="宋体" w:hAnsi="宋体" w:cs="宋体"/>
          <w:color w:val="auto"/>
          <w:szCs w:val="21"/>
          <w:highlight w:val="none"/>
        </w:rPr>
        <w:t>开立时间：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4D46FC1">
      <w:pPr>
        <w:rPr>
          <w:rFonts w:hint="eastAsia" w:ascii="宋体" w:hAnsi="宋体" w:cs="宋体"/>
          <w:bCs/>
          <w:color w:val="auto"/>
          <w:sz w:val="24"/>
          <w:highlight w:val="none"/>
        </w:rPr>
      </w:pPr>
      <w:bookmarkStart w:id="1001" w:name="_Toc95223510"/>
      <w:r>
        <w:rPr>
          <w:rFonts w:hint="eastAsia" w:ascii="宋体" w:hAnsi="宋体" w:cs="宋体"/>
          <w:bCs/>
          <w:color w:val="auto"/>
          <w:sz w:val="24"/>
          <w:highlight w:val="none"/>
        </w:rPr>
        <w:br w:type="page"/>
      </w:r>
    </w:p>
    <w:p w14:paraId="01D83AE5">
      <w:pPr>
        <w:keepNext/>
        <w:keepLines/>
        <w:adjustRightInd w:val="0"/>
        <w:snapToGrid w:val="0"/>
        <w:spacing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附件8：暂估价一览表</w:t>
      </w:r>
      <w:bookmarkEnd w:id="1001"/>
    </w:p>
    <w:p w14:paraId="7B88EAAE">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12-1：材料暂估价表</w:t>
      </w:r>
    </w:p>
    <w:tbl>
      <w:tblPr>
        <w:tblStyle w:val="4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57F20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587360DE">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tcPr>
          <w:p w14:paraId="240D9A2C">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tcPr>
          <w:p w14:paraId="17AB3A55">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tcPr>
          <w:p w14:paraId="14D0538C">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tcPr>
          <w:p w14:paraId="21EF17C3">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tcPr>
          <w:p w14:paraId="5B05B572">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tcPr>
          <w:p w14:paraId="6B3852A7">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749995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tcPr>
          <w:p w14:paraId="2AD414E1">
            <w:pPr>
              <w:keepNext/>
              <w:spacing w:line="440" w:lineRule="exact"/>
              <w:rPr>
                <w:rFonts w:hint="eastAsia" w:ascii="宋体" w:hAnsi="宋体" w:cs="宋体"/>
                <w:color w:val="auto"/>
                <w:szCs w:val="21"/>
                <w:highlight w:val="none"/>
              </w:rPr>
            </w:pPr>
          </w:p>
        </w:tc>
        <w:tc>
          <w:tcPr>
            <w:tcW w:w="1984" w:type="dxa"/>
            <w:tcBorders>
              <w:top w:val="double" w:color="auto" w:sz="6" w:space="0"/>
            </w:tcBorders>
          </w:tcPr>
          <w:p w14:paraId="3BB565A8">
            <w:pPr>
              <w:keepNext/>
              <w:spacing w:line="440" w:lineRule="exact"/>
              <w:rPr>
                <w:rFonts w:hint="eastAsia" w:ascii="宋体" w:hAnsi="宋体" w:cs="宋体"/>
                <w:color w:val="auto"/>
                <w:szCs w:val="21"/>
                <w:highlight w:val="none"/>
              </w:rPr>
            </w:pPr>
          </w:p>
        </w:tc>
        <w:tc>
          <w:tcPr>
            <w:tcW w:w="851" w:type="dxa"/>
            <w:tcBorders>
              <w:top w:val="double" w:color="auto" w:sz="6" w:space="0"/>
            </w:tcBorders>
          </w:tcPr>
          <w:p w14:paraId="41EF4F01">
            <w:pPr>
              <w:keepNext/>
              <w:spacing w:line="440" w:lineRule="exact"/>
              <w:rPr>
                <w:rFonts w:hint="eastAsia" w:ascii="宋体" w:hAnsi="宋体" w:cs="宋体"/>
                <w:color w:val="auto"/>
                <w:szCs w:val="21"/>
                <w:highlight w:val="none"/>
              </w:rPr>
            </w:pPr>
          </w:p>
        </w:tc>
        <w:tc>
          <w:tcPr>
            <w:tcW w:w="774" w:type="dxa"/>
            <w:tcBorders>
              <w:top w:val="double" w:color="auto" w:sz="6" w:space="0"/>
            </w:tcBorders>
          </w:tcPr>
          <w:p w14:paraId="750A4E00">
            <w:pPr>
              <w:keepNext/>
              <w:spacing w:line="440" w:lineRule="exact"/>
              <w:rPr>
                <w:rFonts w:hint="eastAsia" w:ascii="宋体" w:hAnsi="宋体" w:cs="宋体"/>
                <w:color w:val="auto"/>
                <w:szCs w:val="21"/>
                <w:highlight w:val="none"/>
              </w:rPr>
            </w:pPr>
          </w:p>
        </w:tc>
        <w:tc>
          <w:tcPr>
            <w:tcW w:w="1352" w:type="dxa"/>
            <w:tcBorders>
              <w:top w:val="double" w:color="auto" w:sz="6" w:space="0"/>
            </w:tcBorders>
          </w:tcPr>
          <w:p w14:paraId="1800A7D0">
            <w:pPr>
              <w:keepNext/>
              <w:spacing w:line="440" w:lineRule="exact"/>
              <w:rPr>
                <w:rFonts w:hint="eastAsia" w:ascii="宋体" w:hAnsi="宋体" w:cs="宋体"/>
                <w:color w:val="auto"/>
                <w:szCs w:val="21"/>
                <w:highlight w:val="none"/>
              </w:rPr>
            </w:pPr>
          </w:p>
        </w:tc>
        <w:tc>
          <w:tcPr>
            <w:tcW w:w="1418" w:type="dxa"/>
            <w:tcBorders>
              <w:top w:val="double" w:color="auto" w:sz="6" w:space="0"/>
            </w:tcBorders>
          </w:tcPr>
          <w:p w14:paraId="19EAF72C">
            <w:pPr>
              <w:keepNext/>
              <w:spacing w:line="440" w:lineRule="exact"/>
              <w:rPr>
                <w:rFonts w:hint="eastAsia" w:ascii="宋体" w:hAnsi="宋体" w:cs="宋体"/>
                <w:color w:val="auto"/>
                <w:szCs w:val="21"/>
                <w:highlight w:val="none"/>
              </w:rPr>
            </w:pPr>
          </w:p>
        </w:tc>
        <w:tc>
          <w:tcPr>
            <w:tcW w:w="1701" w:type="dxa"/>
            <w:tcBorders>
              <w:top w:val="double" w:color="auto" w:sz="6" w:space="0"/>
            </w:tcBorders>
          </w:tcPr>
          <w:p w14:paraId="05AB9D55">
            <w:pPr>
              <w:keepNext/>
              <w:spacing w:line="440" w:lineRule="exact"/>
              <w:rPr>
                <w:rFonts w:hint="eastAsia" w:ascii="宋体" w:hAnsi="宋体" w:cs="宋体"/>
                <w:color w:val="auto"/>
                <w:szCs w:val="21"/>
                <w:highlight w:val="none"/>
              </w:rPr>
            </w:pPr>
          </w:p>
        </w:tc>
      </w:tr>
      <w:tr w14:paraId="18F50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0602C3A2">
            <w:pPr>
              <w:keepNext/>
              <w:spacing w:line="440" w:lineRule="exact"/>
              <w:rPr>
                <w:rFonts w:hint="eastAsia" w:ascii="宋体" w:hAnsi="宋体" w:cs="宋体"/>
                <w:color w:val="auto"/>
                <w:szCs w:val="21"/>
                <w:highlight w:val="none"/>
              </w:rPr>
            </w:pPr>
          </w:p>
        </w:tc>
        <w:tc>
          <w:tcPr>
            <w:tcW w:w="1984" w:type="dxa"/>
            <w:tcBorders>
              <w:top w:val="nil"/>
            </w:tcBorders>
          </w:tcPr>
          <w:p w14:paraId="5E454D17">
            <w:pPr>
              <w:keepNext/>
              <w:spacing w:line="440" w:lineRule="exact"/>
              <w:rPr>
                <w:rFonts w:hint="eastAsia" w:ascii="宋体" w:hAnsi="宋体" w:cs="宋体"/>
                <w:color w:val="auto"/>
                <w:szCs w:val="21"/>
                <w:highlight w:val="none"/>
              </w:rPr>
            </w:pPr>
          </w:p>
        </w:tc>
        <w:tc>
          <w:tcPr>
            <w:tcW w:w="851" w:type="dxa"/>
            <w:tcBorders>
              <w:top w:val="nil"/>
            </w:tcBorders>
          </w:tcPr>
          <w:p w14:paraId="49A213DC">
            <w:pPr>
              <w:keepNext/>
              <w:spacing w:line="440" w:lineRule="exact"/>
              <w:rPr>
                <w:rFonts w:hint="eastAsia" w:ascii="宋体" w:hAnsi="宋体" w:cs="宋体"/>
                <w:color w:val="auto"/>
                <w:szCs w:val="21"/>
                <w:highlight w:val="none"/>
              </w:rPr>
            </w:pPr>
          </w:p>
        </w:tc>
        <w:tc>
          <w:tcPr>
            <w:tcW w:w="774" w:type="dxa"/>
            <w:tcBorders>
              <w:top w:val="nil"/>
            </w:tcBorders>
          </w:tcPr>
          <w:p w14:paraId="2D66B801">
            <w:pPr>
              <w:keepNext/>
              <w:spacing w:line="440" w:lineRule="exact"/>
              <w:rPr>
                <w:rFonts w:hint="eastAsia" w:ascii="宋体" w:hAnsi="宋体" w:cs="宋体"/>
                <w:color w:val="auto"/>
                <w:szCs w:val="21"/>
                <w:highlight w:val="none"/>
              </w:rPr>
            </w:pPr>
          </w:p>
        </w:tc>
        <w:tc>
          <w:tcPr>
            <w:tcW w:w="1352" w:type="dxa"/>
            <w:tcBorders>
              <w:top w:val="nil"/>
            </w:tcBorders>
          </w:tcPr>
          <w:p w14:paraId="6994BFFA">
            <w:pPr>
              <w:keepNext/>
              <w:spacing w:line="440" w:lineRule="exact"/>
              <w:rPr>
                <w:rFonts w:hint="eastAsia" w:ascii="宋体" w:hAnsi="宋体" w:cs="宋体"/>
                <w:color w:val="auto"/>
                <w:szCs w:val="21"/>
                <w:highlight w:val="none"/>
              </w:rPr>
            </w:pPr>
          </w:p>
        </w:tc>
        <w:tc>
          <w:tcPr>
            <w:tcW w:w="1418" w:type="dxa"/>
            <w:tcBorders>
              <w:top w:val="nil"/>
            </w:tcBorders>
          </w:tcPr>
          <w:p w14:paraId="20935ABB">
            <w:pPr>
              <w:keepNext/>
              <w:spacing w:line="440" w:lineRule="exact"/>
              <w:rPr>
                <w:rFonts w:hint="eastAsia" w:ascii="宋体" w:hAnsi="宋体" w:cs="宋体"/>
                <w:color w:val="auto"/>
                <w:szCs w:val="21"/>
                <w:highlight w:val="none"/>
              </w:rPr>
            </w:pPr>
          </w:p>
        </w:tc>
        <w:tc>
          <w:tcPr>
            <w:tcW w:w="1701" w:type="dxa"/>
            <w:tcBorders>
              <w:top w:val="nil"/>
            </w:tcBorders>
          </w:tcPr>
          <w:p w14:paraId="575569BA">
            <w:pPr>
              <w:keepNext/>
              <w:spacing w:line="440" w:lineRule="exact"/>
              <w:rPr>
                <w:rFonts w:hint="eastAsia" w:ascii="宋体" w:hAnsi="宋体" w:cs="宋体"/>
                <w:color w:val="auto"/>
                <w:szCs w:val="21"/>
                <w:highlight w:val="none"/>
              </w:rPr>
            </w:pPr>
          </w:p>
        </w:tc>
      </w:tr>
      <w:tr w14:paraId="512582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F6D27B0">
            <w:pPr>
              <w:keepNext/>
              <w:spacing w:line="440" w:lineRule="exact"/>
              <w:rPr>
                <w:rFonts w:hint="eastAsia" w:ascii="宋体" w:hAnsi="宋体" w:cs="宋体"/>
                <w:color w:val="auto"/>
                <w:szCs w:val="21"/>
                <w:highlight w:val="none"/>
              </w:rPr>
            </w:pPr>
          </w:p>
        </w:tc>
        <w:tc>
          <w:tcPr>
            <w:tcW w:w="1984" w:type="dxa"/>
          </w:tcPr>
          <w:p w14:paraId="628CF65A">
            <w:pPr>
              <w:keepNext/>
              <w:spacing w:line="440" w:lineRule="exact"/>
              <w:rPr>
                <w:rFonts w:hint="eastAsia" w:ascii="宋体" w:hAnsi="宋体" w:cs="宋体"/>
                <w:color w:val="auto"/>
                <w:szCs w:val="21"/>
                <w:highlight w:val="none"/>
              </w:rPr>
            </w:pPr>
          </w:p>
        </w:tc>
        <w:tc>
          <w:tcPr>
            <w:tcW w:w="851" w:type="dxa"/>
          </w:tcPr>
          <w:p w14:paraId="71BB8D3F">
            <w:pPr>
              <w:keepNext/>
              <w:spacing w:line="440" w:lineRule="exact"/>
              <w:rPr>
                <w:rFonts w:hint="eastAsia" w:ascii="宋体" w:hAnsi="宋体" w:cs="宋体"/>
                <w:color w:val="auto"/>
                <w:szCs w:val="21"/>
                <w:highlight w:val="none"/>
              </w:rPr>
            </w:pPr>
          </w:p>
        </w:tc>
        <w:tc>
          <w:tcPr>
            <w:tcW w:w="774" w:type="dxa"/>
          </w:tcPr>
          <w:p w14:paraId="7529E7EC">
            <w:pPr>
              <w:keepNext/>
              <w:spacing w:line="440" w:lineRule="exact"/>
              <w:rPr>
                <w:rFonts w:hint="eastAsia" w:ascii="宋体" w:hAnsi="宋体" w:cs="宋体"/>
                <w:color w:val="auto"/>
                <w:szCs w:val="21"/>
                <w:highlight w:val="none"/>
              </w:rPr>
            </w:pPr>
          </w:p>
        </w:tc>
        <w:tc>
          <w:tcPr>
            <w:tcW w:w="1352" w:type="dxa"/>
          </w:tcPr>
          <w:p w14:paraId="36CBC576">
            <w:pPr>
              <w:keepNext/>
              <w:spacing w:line="440" w:lineRule="exact"/>
              <w:rPr>
                <w:rFonts w:hint="eastAsia" w:ascii="宋体" w:hAnsi="宋体" w:cs="宋体"/>
                <w:color w:val="auto"/>
                <w:szCs w:val="21"/>
                <w:highlight w:val="none"/>
              </w:rPr>
            </w:pPr>
          </w:p>
        </w:tc>
        <w:tc>
          <w:tcPr>
            <w:tcW w:w="1418" w:type="dxa"/>
          </w:tcPr>
          <w:p w14:paraId="0AD17E05">
            <w:pPr>
              <w:keepNext/>
              <w:spacing w:line="440" w:lineRule="exact"/>
              <w:rPr>
                <w:rFonts w:hint="eastAsia" w:ascii="宋体" w:hAnsi="宋体" w:cs="宋体"/>
                <w:color w:val="auto"/>
                <w:szCs w:val="21"/>
                <w:highlight w:val="none"/>
              </w:rPr>
            </w:pPr>
          </w:p>
        </w:tc>
        <w:tc>
          <w:tcPr>
            <w:tcW w:w="1701" w:type="dxa"/>
          </w:tcPr>
          <w:p w14:paraId="29FDBD63">
            <w:pPr>
              <w:keepNext/>
              <w:spacing w:line="440" w:lineRule="exact"/>
              <w:rPr>
                <w:rFonts w:hint="eastAsia" w:ascii="宋体" w:hAnsi="宋体" w:cs="宋体"/>
                <w:color w:val="auto"/>
                <w:szCs w:val="21"/>
                <w:highlight w:val="none"/>
              </w:rPr>
            </w:pPr>
          </w:p>
        </w:tc>
      </w:tr>
      <w:tr w14:paraId="2D2237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606439E">
            <w:pPr>
              <w:keepNext/>
              <w:spacing w:line="440" w:lineRule="exact"/>
              <w:rPr>
                <w:rFonts w:hint="eastAsia" w:ascii="宋体" w:hAnsi="宋体" w:cs="宋体"/>
                <w:color w:val="auto"/>
                <w:szCs w:val="21"/>
                <w:highlight w:val="none"/>
              </w:rPr>
            </w:pPr>
          </w:p>
        </w:tc>
        <w:tc>
          <w:tcPr>
            <w:tcW w:w="1984" w:type="dxa"/>
          </w:tcPr>
          <w:p w14:paraId="571FA8B0">
            <w:pPr>
              <w:keepNext/>
              <w:spacing w:line="440" w:lineRule="exact"/>
              <w:rPr>
                <w:rFonts w:hint="eastAsia" w:ascii="宋体" w:hAnsi="宋体" w:cs="宋体"/>
                <w:color w:val="auto"/>
                <w:szCs w:val="21"/>
                <w:highlight w:val="none"/>
              </w:rPr>
            </w:pPr>
          </w:p>
        </w:tc>
        <w:tc>
          <w:tcPr>
            <w:tcW w:w="851" w:type="dxa"/>
          </w:tcPr>
          <w:p w14:paraId="7C6BE502">
            <w:pPr>
              <w:keepNext/>
              <w:spacing w:line="440" w:lineRule="exact"/>
              <w:rPr>
                <w:rFonts w:hint="eastAsia" w:ascii="宋体" w:hAnsi="宋体" w:cs="宋体"/>
                <w:color w:val="auto"/>
                <w:szCs w:val="21"/>
                <w:highlight w:val="none"/>
              </w:rPr>
            </w:pPr>
          </w:p>
        </w:tc>
        <w:tc>
          <w:tcPr>
            <w:tcW w:w="774" w:type="dxa"/>
          </w:tcPr>
          <w:p w14:paraId="297097FB">
            <w:pPr>
              <w:keepNext/>
              <w:spacing w:line="440" w:lineRule="exact"/>
              <w:rPr>
                <w:rFonts w:hint="eastAsia" w:ascii="宋体" w:hAnsi="宋体" w:cs="宋体"/>
                <w:color w:val="auto"/>
                <w:szCs w:val="21"/>
                <w:highlight w:val="none"/>
              </w:rPr>
            </w:pPr>
          </w:p>
        </w:tc>
        <w:tc>
          <w:tcPr>
            <w:tcW w:w="1352" w:type="dxa"/>
          </w:tcPr>
          <w:p w14:paraId="22B1B65B">
            <w:pPr>
              <w:keepNext/>
              <w:spacing w:line="440" w:lineRule="exact"/>
              <w:rPr>
                <w:rFonts w:hint="eastAsia" w:ascii="宋体" w:hAnsi="宋体" w:cs="宋体"/>
                <w:color w:val="auto"/>
                <w:szCs w:val="21"/>
                <w:highlight w:val="none"/>
              </w:rPr>
            </w:pPr>
          </w:p>
        </w:tc>
        <w:tc>
          <w:tcPr>
            <w:tcW w:w="1418" w:type="dxa"/>
          </w:tcPr>
          <w:p w14:paraId="72D9F475">
            <w:pPr>
              <w:keepNext/>
              <w:spacing w:line="440" w:lineRule="exact"/>
              <w:rPr>
                <w:rFonts w:hint="eastAsia" w:ascii="宋体" w:hAnsi="宋体" w:cs="宋体"/>
                <w:color w:val="auto"/>
                <w:szCs w:val="21"/>
                <w:highlight w:val="none"/>
              </w:rPr>
            </w:pPr>
          </w:p>
        </w:tc>
        <w:tc>
          <w:tcPr>
            <w:tcW w:w="1701" w:type="dxa"/>
          </w:tcPr>
          <w:p w14:paraId="34B549A0">
            <w:pPr>
              <w:keepNext/>
              <w:spacing w:line="440" w:lineRule="exact"/>
              <w:rPr>
                <w:rFonts w:hint="eastAsia" w:ascii="宋体" w:hAnsi="宋体" w:cs="宋体"/>
                <w:color w:val="auto"/>
                <w:szCs w:val="21"/>
                <w:highlight w:val="none"/>
              </w:rPr>
            </w:pPr>
          </w:p>
        </w:tc>
      </w:tr>
      <w:tr w14:paraId="47250E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tcPr>
          <w:p w14:paraId="170DB702">
            <w:pPr>
              <w:keepNext/>
              <w:spacing w:line="440" w:lineRule="exact"/>
              <w:rPr>
                <w:rFonts w:hint="eastAsia" w:ascii="宋体" w:hAnsi="宋体" w:cs="宋体"/>
                <w:color w:val="auto"/>
                <w:szCs w:val="21"/>
                <w:highlight w:val="none"/>
              </w:rPr>
            </w:pPr>
          </w:p>
        </w:tc>
        <w:tc>
          <w:tcPr>
            <w:tcW w:w="1984" w:type="dxa"/>
            <w:tcBorders>
              <w:bottom w:val="single" w:color="auto" w:sz="12" w:space="0"/>
            </w:tcBorders>
          </w:tcPr>
          <w:p w14:paraId="2040C12D">
            <w:pPr>
              <w:keepNext/>
              <w:spacing w:line="440" w:lineRule="exact"/>
              <w:rPr>
                <w:rFonts w:hint="eastAsia" w:ascii="宋体" w:hAnsi="宋体" w:cs="宋体"/>
                <w:color w:val="auto"/>
                <w:szCs w:val="21"/>
                <w:highlight w:val="none"/>
              </w:rPr>
            </w:pPr>
          </w:p>
        </w:tc>
        <w:tc>
          <w:tcPr>
            <w:tcW w:w="851" w:type="dxa"/>
            <w:tcBorders>
              <w:bottom w:val="single" w:color="auto" w:sz="12" w:space="0"/>
            </w:tcBorders>
          </w:tcPr>
          <w:p w14:paraId="4C168EF5">
            <w:pPr>
              <w:keepNext/>
              <w:spacing w:line="440" w:lineRule="exact"/>
              <w:rPr>
                <w:rFonts w:hint="eastAsia" w:ascii="宋体" w:hAnsi="宋体" w:cs="宋体"/>
                <w:color w:val="auto"/>
                <w:szCs w:val="21"/>
                <w:highlight w:val="none"/>
              </w:rPr>
            </w:pPr>
          </w:p>
        </w:tc>
        <w:tc>
          <w:tcPr>
            <w:tcW w:w="774" w:type="dxa"/>
            <w:tcBorders>
              <w:bottom w:val="single" w:color="auto" w:sz="12" w:space="0"/>
            </w:tcBorders>
          </w:tcPr>
          <w:p w14:paraId="07D3BC12">
            <w:pPr>
              <w:keepNext/>
              <w:spacing w:line="440" w:lineRule="exact"/>
              <w:rPr>
                <w:rFonts w:hint="eastAsia" w:ascii="宋体" w:hAnsi="宋体" w:cs="宋体"/>
                <w:color w:val="auto"/>
                <w:szCs w:val="21"/>
                <w:highlight w:val="none"/>
              </w:rPr>
            </w:pPr>
          </w:p>
        </w:tc>
        <w:tc>
          <w:tcPr>
            <w:tcW w:w="1352" w:type="dxa"/>
            <w:tcBorders>
              <w:bottom w:val="single" w:color="auto" w:sz="12" w:space="0"/>
            </w:tcBorders>
          </w:tcPr>
          <w:p w14:paraId="6D0D4165">
            <w:pPr>
              <w:keepNext/>
              <w:spacing w:line="440" w:lineRule="exact"/>
              <w:rPr>
                <w:rFonts w:hint="eastAsia" w:ascii="宋体" w:hAnsi="宋体" w:cs="宋体"/>
                <w:color w:val="auto"/>
                <w:szCs w:val="21"/>
                <w:highlight w:val="none"/>
              </w:rPr>
            </w:pPr>
          </w:p>
        </w:tc>
        <w:tc>
          <w:tcPr>
            <w:tcW w:w="1418" w:type="dxa"/>
            <w:tcBorders>
              <w:bottom w:val="single" w:color="auto" w:sz="12" w:space="0"/>
            </w:tcBorders>
          </w:tcPr>
          <w:p w14:paraId="18AA60C5">
            <w:pPr>
              <w:keepNext/>
              <w:spacing w:line="440" w:lineRule="exact"/>
              <w:rPr>
                <w:rFonts w:hint="eastAsia" w:ascii="宋体" w:hAnsi="宋体" w:cs="宋体"/>
                <w:color w:val="auto"/>
                <w:szCs w:val="21"/>
                <w:highlight w:val="none"/>
              </w:rPr>
            </w:pPr>
          </w:p>
        </w:tc>
        <w:tc>
          <w:tcPr>
            <w:tcW w:w="1701" w:type="dxa"/>
            <w:tcBorders>
              <w:bottom w:val="single" w:color="auto" w:sz="12" w:space="0"/>
            </w:tcBorders>
          </w:tcPr>
          <w:p w14:paraId="7848910B">
            <w:pPr>
              <w:keepNext/>
              <w:spacing w:line="440" w:lineRule="exact"/>
              <w:rPr>
                <w:rFonts w:hint="eastAsia" w:ascii="宋体" w:hAnsi="宋体" w:cs="宋体"/>
                <w:color w:val="auto"/>
                <w:szCs w:val="21"/>
                <w:highlight w:val="none"/>
              </w:rPr>
            </w:pPr>
          </w:p>
        </w:tc>
      </w:tr>
    </w:tbl>
    <w:p w14:paraId="13C07551">
      <w:pPr>
        <w:spacing w:before="120" w:beforeLines="50" w:after="120" w:afterLines="50" w:line="440" w:lineRule="exact"/>
        <w:rPr>
          <w:rFonts w:hint="eastAsia" w:ascii="宋体" w:hAnsi="宋体" w:cs="宋体"/>
          <w:color w:val="auto"/>
          <w:szCs w:val="21"/>
          <w:highlight w:val="none"/>
        </w:rPr>
      </w:pPr>
    </w:p>
    <w:p w14:paraId="1B3DE558">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12-2：工程设备暂估价表</w:t>
      </w:r>
    </w:p>
    <w:tbl>
      <w:tblPr>
        <w:tblStyle w:val="4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387F9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5FAEE41D">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tcPr>
          <w:p w14:paraId="33CCFA90">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tcPr>
          <w:p w14:paraId="2D8CD78E">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tcPr>
          <w:p w14:paraId="2983B2DB">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tcPr>
          <w:p w14:paraId="092DC509">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tcPr>
          <w:p w14:paraId="5C00B59B">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tcPr>
          <w:p w14:paraId="3007C2C1">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4851E0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tcPr>
          <w:p w14:paraId="1D08283E">
            <w:pPr>
              <w:keepNext/>
              <w:spacing w:line="440" w:lineRule="exact"/>
              <w:rPr>
                <w:rFonts w:hint="eastAsia" w:ascii="宋体" w:hAnsi="宋体" w:cs="宋体"/>
                <w:color w:val="auto"/>
                <w:szCs w:val="21"/>
                <w:highlight w:val="none"/>
              </w:rPr>
            </w:pPr>
          </w:p>
        </w:tc>
        <w:tc>
          <w:tcPr>
            <w:tcW w:w="1984" w:type="dxa"/>
            <w:tcBorders>
              <w:top w:val="double" w:color="auto" w:sz="6" w:space="0"/>
            </w:tcBorders>
          </w:tcPr>
          <w:p w14:paraId="5D280C5B">
            <w:pPr>
              <w:keepNext/>
              <w:spacing w:line="440" w:lineRule="exact"/>
              <w:rPr>
                <w:rFonts w:hint="eastAsia" w:ascii="宋体" w:hAnsi="宋体" w:cs="宋体"/>
                <w:color w:val="auto"/>
                <w:szCs w:val="21"/>
                <w:highlight w:val="none"/>
              </w:rPr>
            </w:pPr>
          </w:p>
        </w:tc>
        <w:tc>
          <w:tcPr>
            <w:tcW w:w="851" w:type="dxa"/>
            <w:tcBorders>
              <w:top w:val="double" w:color="auto" w:sz="6" w:space="0"/>
            </w:tcBorders>
          </w:tcPr>
          <w:p w14:paraId="2565AEF3">
            <w:pPr>
              <w:keepNext/>
              <w:spacing w:line="440" w:lineRule="exact"/>
              <w:rPr>
                <w:rFonts w:hint="eastAsia" w:ascii="宋体" w:hAnsi="宋体" w:cs="宋体"/>
                <w:color w:val="auto"/>
                <w:szCs w:val="21"/>
                <w:highlight w:val="none"/>
              </w:rPr>
            </w:pPr>
          </w:p>
        </w:tc>
        <w:tc>
          <w:tcPr>
            <w:tcW w:w="774" w:type="dxa"/>
            <w:tcBorders>
              <w:top w:val="double" w:color="auto" w:sz="6" w:space="0"/>
            </w:tcBorders>
          </w:tcPr>
          <w:p w14:paraId="5AC70187">
            <w:pPr>
              <w:keepNext/>
              <w:spacing w:line="440" w:lineRule="exact"/>
              <w:rPr>
                <w:rFonts w:hint="eastAsia" w:ascii="宋体" w:hAnsi="宋体" w:cs="宋体"/>
                <w:color w:val="auto"/>
                <w:szCs w:val="21"/>
                <w:highlight w:val="none"/>
              </w:rPr>
            </w:pPr>
          </w:p>
        </w:tc>
        <w:tc>
          <w:tcPr>
            <w:tcW w:w="1352" w:type="dxa"/>
            <w:tcBorders>
              <w:top w:val="double" w:color="auto" w:sz="6" w:space="0"/>
            </w:tcBorders>
          </w:tcPr>
          <w:p w14:paraId="6A8CBB02">
            <w:pPr>
              <w:keepNext/>
              <w:spacing w:line="440" w:lineRule="exact"/>
              <w:rPr>
                <w:rFonts w:hint="eastAsia" w:ascii="宋体" w:hAnsi="宋体" w:cs="宋体"/>
                <w:color w:val="auto"/>
                <w:szCs w:val="21"/>
                <w:highlight w:val="none"/>
              </w:rPr>
            </w:pPr>
          </w:p>
        </w:tc>
        <w:tc>
          <w:tcPr>
            <w:tcW w:w="1418" w:type="dxa"/>
            <w:tcBorders>
              <w:top w:val="double" w:color="auto" w:sz="6" w:space="0"/>
            </w:tcBorders>
          </w:tcPr>
          <w:p w14:paraId="14911D9C">
            <w:pPr>
              <w:keepNext/>
              <w:spacing w:line="440" w:lineRule="exact"/>
              <w:rPr>
                <w:rFonts w:hint="eastAsia" w:ascii="宋体" w:hAnsi="宋体" w:cs="宋体"/>
                <w:color w:val="auto"/>
                <w:szCs w:val="21"/>
                <w:highlight w:val="none"/>
              </w:rPr>
            </w:pPr>
          </w:p>
        </w:tc>
        <w:tc>
          <w:tcPr>
            <w:tcW w:w="1701" w:type="dxa"/>
            <w:tcBorders>
              <w:top w:val="double" w:color="auto" w:sz="6" w:space="0"/>
            </w:tcBorders>
          </w:tcPr>
          <w:p w14:paraId="5A63F3C3">
            <w:pPr>
              <w:keepNext/>
              <w:spacing w:line="440" w:lineRule="exact"/>
              <w:rPr>
                <w:rFonts w:hint="eastAsia" w:ascii="宋体" w:hAnsi="宋体" w:cs="宋体"/>
                <w:color w:val="auto"/>
                <w:szCs w:val="21"/>
                <w:highlight w:val="none"/>
              </w:rPr>
            </w:pPr>
          </w:p>
        </w:tc>
      </w:tr>
      <w:tr w14:paraId="71FD82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49B51D3B">
            <w:pPr>
              <w:keepNext/>
              <w:spacing w:line="440" w:lineRule="exact"/>
              <w:rPr>
                <w:rFonts w:hint="eastAsia" w:ascii="宋体" w:hAnsi="宋体" w:cs="宋体"/>
                <w:color w:val="auto"/>
                <w:szCs w:val="21"/>
                <w:highlight w:val="none"/>
              </w:rPr>
            </w:pPr>
          </w:p>
        </w:tc>
        <w:tc>
          <w:tcPr>
            <w:tcW w:w="1984" w:type="dxa"/>
            <w:tcBorders>
              <w:top w:val="nil"/>
            </w:tcBorders>
          </w:tcPr>
          <w:p w14:paraId="1FFE2789">
            <w:pPr>
              <w:keepNext/>
              <w:spacing w:line="440" w:lineRule="exact"/>
              <w:rPr>
                <w:rFonts w:hint="eastAsia" w:ascii="宋体" w:hAnsi="宋体" w:cs="宋体"/>
                <w:color w:val="auto"/>
                <w:szCs w:val="21"/>
                <w:highlight w:val="none"/>
              </w:rPr>
            </w:pPr>
          </w:p>
        </w:tc>
        <w:tc>
          <w:tcPr>
            <w:tcW w:w="851" w:type="dxa"/>
            <w:tcBorders>
              <w:top w:val="nil"/>
            </w:tcBorders>
          </w:tcPr>
          <w:p w14:paraId="2414A4E3">
            <w:pPr>
              <w:keepNext/>
              <w:spacing w:line="440" w:lineRule="exact"/>
              <w:rPr>
                <w:rFonts w:hint="eastAsia" w:ascii="宋体" w:hAnsi="宋体" w:cs="宋体"/>
                <w:color w:val="auto"/>
                <w:szCs w:val="21"/>
                <w:highlight w:val="none"/>
              </w:rPr>
            </w:pPr>
          </w:p>
        </w:tc>
        <w:tc>
          <w:tcPr>
            <w:tcW w:w="774" w:type="dxa"/>
            <w:tcBorders>
              <w:top w:val="nil"/>
            </w:tcBorders>
          </w:tcPr>
          <w:p w14:paraId="1D4CEF73">
            <w:pPr>
              <w:keepNext/>
              <w:spacing w:line="440" w:lineRule="exact"/>
              <w:rPr>
                <w:rFonts w:hint="eastAsia" w:ascii="宋体" w:hAnsi="宋体" w:cs="宋体"/>
                <w:color w:val="auto"/>
                <w:szCs w:val="21"/>
                <w:highlight w:val="none"/>
              </w:rPr>
            </w:pPr>
          </w:p>
        </w:tc>
        <w:tc>
          <w:tcPr>
            <w:tcW w:w="1352" w:type="dxa"/>
            <w:tcBorders>
              <w:top w:val="nil"/>
            </w:tcBorders>
          </w:tcPr>
          <w:p w14:paraId="4A9B63F6">
            <w:pPr>
              <w:keepNext/>
              <w:spacing w:line="440" w:lineRule="exact"/>
              <w:rPr>
                <w:rFonts w:hint="eastAsia" w:ascii="宋体" w:hAnsi="宋体" w:cs="宋体"/>
                <w:color w:val="auto"/>
                <w:szCs w:val="21"/>
                <w:highlight w:val="none"/>
              </w:rPr>
            </w:pPr>
          </w:p>
        </w:tc>
        <w:tc>
          <w:tcPr>
            <w:tcW w:w="1418" w:type="dxa"/>
            <w:tcBorders>
              <w:top w:val="nil"/>
            </w:tcBorders>
          </w:tcPr>
          <w:p w14:paraId="6C71CB46">
            <w:pPr>
              <w:keepNext/>
              <w:spacing w:line="440" w:lineRule="exact"/>
              <w:rPr>
                <w:rFonts w:hint="eastAsia" w:ascii="宋体" w:hAnsi="宋体" w:cs="宋体"/>
                <w:color w:val="auto"/>
                <w:szCs w:val="21"/>
                <w:highlight w:val="none"/>
              </w:rPr>
            </w:pPr>
          </w:p>
        </w:tc>
        <w:tc>
          <w:tcPr>
            <w:tcW w:w="1701" w:type="dxa"/>
            <w:tcBorders>
              <w:top w:val="nil"/>
            </w:tcBorders>
          </w:tcPr>
          <w:p w14:paraId="3CB7C072">
            <w:pPr>
              <w:keepNext/>
              <w:spacing w:line="440" w:lineRule="exact"/>
              <w:rPr>
                <w:rFonts w:hint="eastAsia" w:ascii="宋体" w:hAnsi="宋体" w:cs="宋体"/>
                <w:color w:val="auto"/>
                <w:szCs w:val="21"/>
                <w:highlight w:val="none"/>
              </w:rPr>
            </w:pPr>
          </w:p>
        </w:tc>
      </w:tr>
      <w:tr w14:paraId="0CB200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3FF7446">
            <w:pPr>
              <w:keepNext/>
              <w:spacing w:line="440" w:lineRule="exact"/>
              <w:rPr>
                <w:rFonts w:hint="eastAsia" w:ascii="宋体" w:hAnsi="宋体" w:cs="宋体"/>
                <w:color w:val="auto"/>
                <w:szCs w:val="21"/>
                <w:highlight w:val="none"/>
              </w:rPr>
            </w:pPr>
          </w:p>
        </w:tc>
        <w:tc>
          <w:tcPr>
            <w:tcW w:w="1984" w:type="dxa"/>
          </w:tcPr>
          <w:p w14:paraId="54772E04">
            <w:pPr>
              <w:keepNext/>
              <w:spacing w:line="440" w:lineRule="exact"/>
              <w:rPr>
                <w:rFonts w:hint="eastAsia" w:ascii="宋体" w:hAnsi="宋体" w:cs="宋体"/>
                <w:color w:val="auto"/>
                <w:szCs w:val="21"/>
                <w:highlight w:val="none"/>
              </w:rPr>
            </w:pPr>
          </w:p>
        </w:tc>
        <w:tc>
          <w:tcPr>
            <w:tcW w:w="851" w:type="dxa"/>
          </w:tcPr>
          <w:p w14:paraId="4CA0249E">
            <w:pPr>
              <w:keepNext/>
              <w:spacing w:line="440" w:lineRule="exact"/>
              <w:rPr>
                <w:rFonts w:hint="eastAsia" w:ascii="宋体" w:hAnsi="宋体" w:cs="宋体"/>
                <w:color w:val="auto"/>
                <w:szCs w:val="21"/>
                <w:highlight w:val="none"/>
              </w:rPr>
            </w:pPr>
          </w:p>
        </w:tc>
        <w:tc>
          <w:tcPr>
            <w:tcW w:w="774" w:type="dxa"/>
          </w:tcPr>
          <w:p w14:paraId="74482169">
            <w:pPr>
              <w:keepNext/>
              <w:spacing w:line="440" w:lineRule="exact"/>
              <w:rPr>
                <w:rFonts w:hint="eastAsia" w:ascii="宋体" w:hAnsi="宋体" w:cs="宋体"/>
                <w:color w:val="auto"/>
                <w:szCs w:val="21"/>
                <w:highlight w:val="none"/>
              </w:rPr>
            </w:pPr>
          </w:p>
        </w:tc>
        <w:tc>
          <w:tcPr>
            <w:tcW w:w="1352" w:type="dxa"/>
          </w:tcPr>
          <w:p w14:paraId="0567A8DA">
            <w:pPr>
              <w:keepNext/>
              <w:spacing w:line="440" w:lineRule="exact"/>
              <w:rPr>
                <w:rFonts w:hint="eastAsia" w:ascii="宋体" w:hAnsi="宋体" w:cs="宋体"/>
                <w:color w:val="auto"/>
                <w:szCs w:val="21"/>
                <w:highlight w:val="none"/>
              </w:rPr>
            </w:pPr>
          </w:p>
        </w:tc>
        <w:tc>
          <w:tcPr>
            <w:tcW w:w="1418" w:type="dxa"/>
          </w:tcPr>
          <w:p w14:paraId="28F4E71F">
            <w:pPr>
              <w:keepNext/>
              <w:spacing w:line="440" w:lineRule="exact"/>
              <w:rPr>
                <w:rFonts w:hint="eastAsia" w:ascii="宋体" w:hAnsi="宋体" w:cs="宋体"/>
                <w:color w:val="auto"/>
                <w:szCs w:val="21"/>
                <w:highlight w:val="none"/>
              </w:rPr>
            </w:pPr>
          </w:p>
        </w:tc>
        <w:tc>
          <w:tcPr>
            <w:tcW w:w="1701" w:type="dxa"/>
          </w:tcPr>
          <w:p w14:paraId="1DED8F22">
            <w:pPr>
              <w:keepNext/>
              <w:spacing w:line="440" w:lineRule="exact"/>
              <w:rPr>
                <w:rFonts w:hint="eastAsia" w:ascii="宋体" w:hAnsi="宋体" w:cs="宋体"/>
                <w:color w:val="auto"/>
                <w:szCs w:val="21"/>
                <w:highlight w:val="none"/>
              </w:rPr>
            </w:pPr>
          </w:p>
        </w:tc>
      </w:tr>
      <w:tr w14:paraId="455B9C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tcPr>
          <w:p w14:paraId="3DBB76CF">
            <w:pPr>
              <w:keepNext/>
              <w:spacing w:line="440" w:lineRule="exact"/>
              <w:rPr>
                <w:rFonts w:hint="eastAsia" w:ascii="宋体" w:hAnsi="宋体" w:cs="宋体"/>
                <w:color w:val="auto"/>
                <w:szCs w:val="21"/>
                <w:highlight w:val="none"/>
              </w:rPr>
            </w:pPr>
          </w:p>
        </w:tc>
        <w:tc>
          <w:tcPr>
            <w:tcW w:w="1984" w:type="dxa"/>
            <w:tcBorders>
              <w:bottom w:val="single" w:color="auto" w:sz="12" w:space="0"/>
            </w:tcBorders>
          </w:tcPr>
          <w:p w14:paraId="540A4D92">
            <w:pPr>
              <w:keepNext/>
              <w:spacing w:line="440" w:lineRule="exact"/>
              <w:rPr>
                <w:rFonts w:hint="eastAsia" w:ascii="宋体" w:hAnsi="宋体" w:cs="宋体"/>
                <w:color w:val="auto"/>
                <w:szCs w:val="21"/>
                <w:highlight w:val="none"/>
              </w:rPr>
            </w:pPr>
          </w:p>
        </w:tc>
        <w:tc>
          <w:tcPr>
            <w:tcW w:w="851" w:type="dxa"/>
            <w:tcBorders>
              <w:bottom w:val="single" w:color="auto" w:sz="12" w:space="0"/>
            </w:tcBorders>
          </w:tcPr>
          <w:p w14:paraId="7E163003">
            <w:pPr>
              <w:keepNext/>
              <w:spacing w:line="440" w:lineRule="exact"/>
              <w:rPr>
                <w:rFonts w:hint="eastAsia" w:ascii="宋体" w:hAnsi="宋体" w:cs="宋体"/>
                <w:color w:val="auto"/>
                <w:szCs w:val="21"/>
                <w:highlight w:val="none"/>
              </w:rPr>
            </w:pPr>
          </w:p>
        </w:tc>
        <w:tc>
          <w:tcPr>
            <w:tcW w:w="774" w:type="dxa"/>
            <w:tcBorders>
              <w:bottom w:val="single" w:color="auto" w:sz="12" w:space="0"/>
            </w:tcBorders>
          </w:tcPr>
          <w:p w14:paraId="5851BD70">
            <w:pPr>
              <w:keepNext/>
              <w:spacing w:line="440" w:lineRule="exact"/>
              <w:rPr>
                <w:rFonts w:hint="eastAsia" w:ascii="宋体" w:hAnsi="宋体" w:cs="宋体"/>
                <w:color w:val="auto"/>
                <w:szCs w:val="21"/>
                <w:highlight w:val="none"/>
              </w:rPr>
            </w:pPr>
          </w:p>
        </w:tc>
        <w:tc>
          <w:tcPr>
            <w:tcW w:w="1352" w:type="dxa"/>
            <w:tcBorders>
              <w:bottom w:val="single" w:color="auto" w:sz="12" w:space="0"/>
            </w:tcBorders>
          </w:tcPr>
          <w:p w14:paraId="7A666B77">
            <w:pPr>
              <w:keepNext/>
              <w:spacing w:line="440" w:lineRule="exact"/>
              <w:rPr>
                <w:rFonts w:hint="eastAsia" w:ascii="宋体" w:hAnsi="宋体" w:cs="宋体"/>
                <w:color w:val="auto"/>
                <w:szCs w:val="21"/>
                <w:highlight w:val="none"/>
              </w:rPr>
            </w:pPr>
          </w:p>
        </w:tc>
        <w:tc>
          <w:tcPr>
            <w:tcW w:w="1418" w:type="dxa"/>
            <w:tcBorders>
              <w:bottom w:val="single" w:color="auto" w:sz="12" w:space="0"/>
            </w:tcBorders>
          </w:tcPr>
          <w:p w14:paraId="26877627">
            <w:pPr>
              <w:keepNext/>
              <w:spacing w:line="440" w:lineRule="exact"/>
              <w:rPr>
                <w:rFonts w:hint="eastAsia" w:ascii="宋体" w:hAnsi="宋体" w:cs="宋体"/>
                <w:color w:val="auto"/>
                <w:szCs w:val="21"/>
                <w:highlight w:val="none"/>
              </w:rPr>
            </w:pPr>
          </w:p>
        </w:tc>
        <w:tc>
          <w:tcPr>
            <w:tcW w:w="1701" w:type="dxa"/>
            <w:tcBorders>
              <w:bottom w:val="single" w:color="auto" w:sz="12" w:space="0"/>
            </w:tcBorders>
          </w:tcPr>
          <w:p w14:paraId="17322A10">
            <w:pPr>
              <w:keepNext/>
              <w:spacing w:line="440" w:lineRule="exact"/>
              <w:rPr>
                <w:rFonts w:hint="eastAsia" w:ascii="宋体" w:hAnsi="宋体" w:cs="宋体"/>
                <w:color w:val="auto"/>
                <w:szCs w:val="21"/>
                <w:highlight w:val="none"/>
              </w:rPr>
            </w:pPr>
          </w:p>
        </w:tc>
      </w:tr>
    </w:tbl>
    <w:p w14:paraId="23DC10DD">
      <w:pPr>
        <w:spacing w:line="440" w:lineRule="exact"/>
        <w:rPr>
          <w:rFonts w:hint="eastAsia" w:ascii="宋体" w:hAnsi="宋体" w:cs="宋体"/>
          <w:color w:val="auto"/>
          <w:szCs w:val="21"/>
          <w:highlight w:val="none"/>
        </w:rPr>
      </w:pPr>
    </w:p>
    <w:p w14:paraId="35A49F4B">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12-3：专业工程暂估价表</w:t>
      </w:r>
    </w:p>
    <w:tbl>
      <w:tblPr>
        <w:tblStyle w:val="4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46BA0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507DB23D">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tcPr>
          <w:p w14:paraId="5A874DA7">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tcPr>
          <w:p w14:paraId="4B4C4F94">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tcPr>
          <w:p w14:paraId="26E5D005">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tcPr>
          <w:p w14:paraId="048C79D6">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tcPr>
          <w:p w14:paraId="753532C2">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tcPr>
          <w:p w14:paraId="3F7099DC">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2145A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tcPr>
          <w:p w14:paraId="2E224BF7">
            <w:pPr>
              <w:keepNext/>
              <w:spacing w:line="440" w:lineRule="exact"/>
              <w:rPr>
                <w:rFonts w:hint="eastAsia" w:ascii="宋体" w:hAnsi="宋体" w:cs="宋体"/>
                <w:color w:val="auto"/>
                <w:szCs w:val="21"/>
                <w:highlight w:val="none"/>
              </w:rPr>
            </w:pPr>
          </w:p>
        </w:tc>
        <w:tc>
          <w:tcPr>
            <w:tcW w:w="1984" w:type="dxa"/>
            <w:tcBorders>
              <w:top w:val="double" w:color="auto" w:sz="6" w:space="0"/>
            </w:tcBorders>
          </w:tcPr>
          <w:p w14:paraId="3C9BCC57">
            <w:pPr>
              <w:keepNext/>
              <w:spacing w:line="440" w:lineRule="exact"/>
              <w:rPr>
                <w:rFonts w:hint="eastAsia" w:ascii="宋体" w:hAnsi="宋体" w:cs="宋体"/>
                <w:color w:val="auto"/>
                <w:szCs w:val="21"/>
                <w:highlight w:val="none"/>
              </w:rPr>
            </w:pPr>
          </w:p>
        </w:tc>
        <w:tc>
          <w:tcPr>
            <w:tcW w:w="851" w:type="dxa"/>
            <w:tcBorders>
              <w:top w:val="double" w:color="auto" w:sz="6" w:space="0"/>
            </w:tcBorders>
          </w:tcPr>
          <w:p w14:paraId="418DC875">
            <w:pPr>
              <w:keepNext/>
              <w:spacing w:line="440" w:lineRule="exact"/>
              <w:rPr>
                <w:rFonts w:hint="eastAsia" w:ascii="宋体" w:hAnsi="宋体" w:cs="宋体"/>
                <w:color w:val="auto"/>
                <w:szCs w:val="21"/>
                <w:highlight w:val="none"/>
              </w:rPr>
            </w:pPr>
          </w:p>
        </w:tc>
        <w:tc>
          <w:tcPr>
            <w:tcW w:w="774" w:type="dxa"/>
            <w:tcBorders>
              <w:top w:val="double" w:color="auto" w:sz="6" w:space="0"/>
            </w:tcBorders>
          </w:tcPr>
          <w:p w14:paraId="30558DF5">
            <w:pPr>
              <w:keepNext/>
              <w:spacing w:line="440" w:lineRule="exact"/>
              <w:rPr>
                <w:rFonts w:hint="eastAsia" w:ascii="宋体" w:hAnsi="宋体" w:cs="宋体"/>
                <w:color w:val="auto"/>
                <w:szCs w:val="21"/>
                <w:highlight w:val="none"/>
              </w:rPr>
            </w:pPr>
          </w:p>
        </w:tc>
        <w:tc>
          <w:tcPr>
            <w:tcW w:w="1352" w:type="dxa"/>
            <w:tcBorders>
              <w:top w:val="double" w:color="auto" w:sz="6" w:space="0"/>
            </w:tcBorders>
          </w:tcPr>
          <w:p w14:paraId="4FE64CB8">
            <w:pPr>
              <w:keepNext/>
              <w:spacing w:line="440" w:lineRule="exact"/>
              <w:rPr>
                <w:rFonts w:hint="eastAsia" w:ascii="宋体" w:hAnsi="宋体" w:cs="宋体"/>
                <w:color w:val="auto"/>
                <w:szCs w:val="21"/>
                <w:highlight w:val="none"/>
              </w:rPr>
            </w:pPr>
          </w:p>
        </w:tc>
        <w:tc>
          <w:tcPr>
            <w:tcW w:w="1418" w:type="dxa"/>
            <w:tcBorders>
              <w:top w:val="double" w:color="auto" w:sz="6" w:space="0"/>
            </w:tcBorders>
          </w:tcPr>
          <w:p w14:paraId="36E6CDDE">
            <w:pPr>
              <w:keepNext/>
              <w:spacing w:line="440" w:lineRule="exact"/>
              <w:rPr>
                <w:rFonts w:hint="eastAsia" w:ascii="宋体" w:hAnsi="宋体" w:cs="宋体"/>
                <w:color w:val="auto"/>
                <w:szCs w:val="21"/>
                <w:highlight w:val="none"/>
              </w:rPr>
            </w:pPr>
          </w:p>
        </w:tc>
        <w:tc>
          <w:tcPr>
            <w:tcW w:w="1701" w:type="dxa"/>
            <w:tcBorders>
              <w:top w:val="double" w:color="auto" w:sz="6" w:space="0"/>
            </w:tcBorders>
          </w:tcPr>
          <w:p w14:paraId="37CC51A4">
            <w:pPr>
              <w:keepNext/>
              <w:spacing w:line="440" w:lineRule="exact"/>
              <w:rPr>
                <w:rFonts w:hint="eastAsia" w:ascii="宋体" w:hAnsi="宋体" w:cs="宋体"/>
                <w:color w:val="auto"/>
                <w:szCs w:val="21"/>
                <w:highlight w:val="none"/>
              </w:rPr>
            </w:pPr>
          </w:p>
        </w:tc>
      </w:tr>
      <w:tr w14:paraId="3FFC9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65078F84">
            <w:pPr>
              <w:keepNext/>
              <w:spacing w:line="440" w:lineRule="exact"/>
              <w:rPr>
                <w:rFonts w:hint="eastAsia" w:ascii="宋体" w:hAnsi="宋体" w:cs="宋体"/>
                <w:color w:val="auto"/>
                <w:szCs w:val="21"/>
                <w:highlight w:val="none"/>
              </w:rPr>
            </w:pPr>
          </w:p>
        </w:tc>
        <w:tc>
          <w:tcPr>
            <w:tcW w:w="1984" w:type="dxa"/>
            <w:tcBorders>
              <w:top w:val="nil"/>
            </w:tcBorders>
          </w:tcPr>
          <w:p w14:paraId="6C262DB1">
            <w:pPr>
              <w:keepNext/>
              <w:spacing w:line="440" w:lineRule="exact"/>
              <w:rPr>
                <w:rFonts w:hint="eastAsia" w:ascii="宋体" w:hAnsi="宋体" w:cs="宋体"/>
                <w:color w:val="auto"/>
                <w:szCs w:val="21"/>
                <w:highlight w:val="none"/>
              </w:rPr>
            </w:pPr>
          </w:p>
        </w:tc>
        <w:tc>
          <w:tcPr>
            <w:tcW w:w="851" w:type="dxa"/>
            <w:tcBorders>
              <w:top w:val="nil"/>
            </w:tcBorders>
          </w:tcPr>
          <w:p w14:paraId="45D9D76C">
            <w:pPr>
              <w:keepNext/>
              <w:spacing w:line="440" w:lineRule="exact"/>
              <w:rPr>
                <w:rFonts w:hint="eastAsia" w:ascii="宋体" w:hAnsi="宋体" w:cs="宋体"/>
                <w:color w:val="auto"/>
                <w:szCs w:val="21"/>
                <w:highlight w:val="none"/>
              </w:rPr>
            </w:pPr>
          </w:p>
        </w:tc>
        <w:tc>
          <w:tcPr>
            <w:tcW w:w="774" w:type="dxa"/>
            <w:tcBorders>
              <w:top w:val="nil"/>
            </w:tcBorders>
          </w:tcPr>
          <w:p w14:paraId="280A44CB">
            <w:pPr>
              <w:keepNext/>
              <w:spacing w:line="440" w:lineRule="exact"/>
              <w:rPr>
                <w:rFonts w:hint="eastAsia" w:ascii="宋体" w:hAnsi="宋体" w:cs="宋体"/>
                <w:color w:val="auto"/>
                <w:szCs w:val="21"/>
                <w:highlight w:val="none"/>
              </w:rPr>
            </w:pPr>
          </w:p>
        </w:tc>
        <w:tc>
          <w:tcPr>
            <w:tcW w:w="1352" w:type="dxa"/>
            <w:tcBorders>
              <w:top w:val="nil"/>
            </w:tcBorders>
          </w:tcPr>
          <w:p w14:paraId="716C8158">
            <w:pPr>
              <w:keepNext/>
              <w:spacing w:line="440" w:lineRule="exact"/>
              <w:rPr>
                <w:rFonts w:hint="eastAsia" w:ascii="宋体" w:hAnsi="宋体" w:cs="宋体"/>
                <w:color w:val="auto"/>
                <w:szCs w:val="21"/>
                <w:highlight w:val="none"/>
              </w:rPr>
            </w:pPr>
          </w:p>
        </w:tc>
        <w:tc>
          <w:tcPr>
            <w:tcW w:w="1418" w:type="dxa"/>
            <w:tcBorders>
              <w:top w:val="nil"/>
            </w:tcBorders>
          </w:tcPr>
          <w:p w14:paraId="253298D5">
            <w:pPr>
              <w:keepNext/>
              <w:spacing w:line="440" w:lineRule="exact"/>
              <w:rPr>
                <w:rFonts w:hint="eastAsia" w:ascii="宋体" w:hAnsi="宋体" w:cs="宋体"/>
                <w:color w:val="auto"/>
                <w:szCs w:val="21"/>
                <w:highlight w:val="none"/>
              </w:rPr>
            </w:pPr>
          </w:p>
        </w:tc>
        <w:tc>
          <w:tcPr>
            <w:tcW w:w="1701" w:type="dxa"/>
            <w:tcBorders>
              <w:top w:val="nil"/>
            </w:tcBorders>
          </w:tcPr>
          <w:p w14:paraId="20FC4B54">
            <w:pPr>
              <w:keepNext/>
              <w:spacing w:line="440" w:lineRule="exact"/>
              <w:rPr>
                <w:rFonts w:hint="eastAsia" w:ascii="宋体" w:hAnsi="宋体" w:cs="宋体"/>
                <w:color w:val="auto"/>
                <w:szCs w:val="21"/>
                <w:highlight w:val="none"/>
              </w:rPr>
            </w:pPr>
          </w:p>
        </w:tc>
      </w:tr>
      <w:tr w14:paraId="67B4E8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288DF22">
            <w:pPr>
              <w:keepNext/>
              <w:spacing w:line="440" w:lineRule="exact"/>
              <w:rPr>
                <w:rFonts w:hint="eastAsia" w:ascii="宋体" w:hAnsi="宋体" w:cs="宋体"/>
                <w:color w:val="auto"/>
                <w:szCs w:val="21"/>
                <w:highlight w:val="none"/>
              </w:rPr>
            </w:pPr>
          </w:p>
        </w:tc>
        <w:tc>
          <w:tcPr>
            <w:tcW w:w="1984" w:type="dxa"/>
          </w:tcPr>
          <w:p w14:paraId="74F321A9">
            <w:pPr>
              <w:keepNext/>
              <w:spacing w:line="440" w:lineRule="exact"/>
              <w:rPr>
                <w:rFonts w:hint="eastAsia" w:ascii="宋体" w:hAnsi="宋体" w:cs="宋体"/>
                <w:color w:val="auto"/>
                <w:szCs w:val="21"/>
                <w:highlight w:val="none"/>
              </w:rPr>
            </w:pPr>
          </w:p>
        </w:tc>
        <w:tc>
          <w:tcPr>
            <w:tcW w:w="851" w:type="dxa"/>
          </w:tcPr>
          <w:p w14:paraId="2940870A">
            <w:pPr>
              <w:keepNext/>
              <w:spacing w:line="440" w:lineRule="exact"/>
              <w:rPr>
                <w:rFonts w:hint="eastAsia" w:ascii="宋体" w:hAnsi="宋体" w:cs="宋体"/>
                <w:color w:val="auto"/>
                <w:szCs w:val="21"/>
                <w:highlight w:val="none"/>
              </w:rPr>
            </w:pPr>
          </w:p>
        </w:tc>
        <w:tc>
          <w:tcPr>
            <w:tcW w:w="774" w:type="dxa"/>
          </w:tcPr>
          <w:p w14:paraId="5CF27897">
            <w:pPr>
              <w:keepNext/>
              <w:spacing w:line="440" w:lineRule="exact"/>
              <w:rPr>
                <w:rFonts w:hint="eastAsia" w:ascii="宋体" w:hAnsi="宋体" w:cs="宋体"/>
                <w:color w:val="auto"/>
                <w:szCs w:val="21"/>
                <w:highlight w:val="none"/>
              </w:rPr>
            </w:pPr>
          </w:p>
        </w:tc>
        <w:tc>
          <w:tcPr>
            <w:tcW w:w="1352" w:type="dxa"/>
          </w:tcPr>
          <w:p w14:paraId="72595A19">
            <w:pPr>
              <w:keepNext/>
              <w:spacing w:line="440" w:lineRule="exact"/>
              <w:rPr>
                <w:rFonts w:hint="eastAsia" w:ascii="宋体" w:hAnsi="宋体" w:cs="宋体"/>
                <w:color w:val="auto"/>
                <w:szCs w:val="21"/>
                <w:highlight w:val="none"/>
              </w:rPr>
            </w:pPr>
          </w:p>
        </w:tc>
        <w:tc>
          <w:tcPr>
            <w:tcW w:w="1418" w:type="dxa"/>
          </w:tcPr>
          <w:p w14:paraId="4D1AD4AA">
            <w:pPr>
              <w:keepNext/>
              <w:spacing w:line="440" w:lineRule="exact"/>
              <w:rPr>
                <w:rFonts w:hint="eastAsia" w:ascii="宋体" w:hAnsi="宋体" w:cs="宋体"/>
                <w:color w:val="auto"/>
                <w:szCs w:val="21"/>
                <w:highlight w:val="none"/>
              </w:rPr>
            </w:pPr>
          </w:p>
        </w:tc>
        <w:tc>
          <w:tcPr>
            <w:tcW w:w="1701" w:type="dxa"/>
          </w:tcPr>
          <w:p w14:paraId="26B45304">
            <w:pPr>
              <w:keepNext/>
              <w:spacing w:line="440" w:lineRule="exact"/>
              <w:rPr>
                <w:rFonts w:hint="eastAsia" w:ascii="宋体" w:hAnsi="宋体" w:cs="宋体"/>
                <w:color w:val="auto"/>
                <w:szCs w:val="21"/>
                <w:highlight w:val="none"/>
              </w:rPr>
            </w:pPr>
          </w:p>
        </w:tc>
      </w:tr>
      <w:tr w14:paraId="413A2F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tcPr>
          <w:p w14:paraId="6B8E93CB">
            <w:pPr>
              <w:keepNext/>
              <w:spacing w:line="440" w:lineRule="exact"/>
              <w:rPr>
                <w:rFonts w:hint="eastAsia" w:ascii="宋体" w:hAnsi="宋体" w:cs="宋体"/>
                <w:color w:val="auto"/>
                <w:szCs w:val="21"/>
                <w:highlight w:val="none"/>
              </w:rPr>
            </w:pPr>
          </w:p>
        </w:tc>
        <w:tc>
          <w:tcPr>
            <w:tcW w:w="1984" w:type="dxa"/>
            <w:tcBorders>
              <w:bottom w:val="single" w:color="auto" w:sz="12" w:space="0"/>
            </w:tcBorders>
          </w:tcPr>
          <w:p w14:paraId="2890B78A">
            <w:pPr>
              <w:keepNext/>
              <w:spacing w:line="440" w:lineRule="exact"/>
              <w:rPr>
                <w:rFonts w:hint="eastAsia" w:ascii="宋体" w:hAnsi="宋体" w:cs="宋体"/>
                <w:color w:val="auto"/>
                <w:szCs w:val="21"/>
                <w:highlight w:val="none"/>
              </w:rPr>
            </w:pPr>
          </w:p>
        </w:tc>
        <w:tc>
          <w:tcPr>
            <w:tcW w:w="851" w:type="dxa"/>
            <w:tcBorders>
              <w:bottom w:val="single" w:color="auto" w:sz="12" w:space="0"/>
            </w:tcBorders>
          </w:tcPr>
          <w:p w14:paraId="452001C3">
            <w:pPr>
              <w:keepNext/>
              <w:spacing w:line="440" w:lineRule="exact"/>
              <w:rPr>
                <w:rFonts w:hint="eastAsia" w:ascii="宋体" w:hAnsi="宋体" w:cs="宋体"/>
                <w:color w:val="auto"/>
                <w:szCs w:val="21"/>
                <w:highlight w:val="none"/>
              </w:rPr>
            </w:pPr>
          </w:p>
        </w:tc>
        <w:tc>
          <w:tcPr>
            <w:tcW w:w="774" w:type="dxa"/>
            <w:tcBorders>
              <w:bottom w:val="single" w:color="auto" w:sz="12" w:space="0"/>
            </w:tcBorders>
          </w:tcPr>
          <w:p w14:paraId="1AC2207B">
            <w:pPr>
              <w:keepNext/>
              <w:spacing w:line="440" w:lineRule="exact"/>
              <w:rPr>
                <w:rFonts w:hint="eastAsia" w:ascii="宋体" w:hAnsi="宋体" w:cs="宋体"/>
                <w:color w:val="auto"/>
                <w:szCs w:val="21"/>
                <w:highlight w:val="none"/>
              </w:rPr>
            </w:pPr>
          </w:p>
        </w:tc>
        <w:tc>
          <w:tcPr>
            <w:tcW w:w="1352" w:type="dxa"/>
            <w:tcBorders>
              <w:bottom w:val="single" w:color="auto" w:sz="12" w:space="0"/>
            </w:tcBorders>
          </w:tcPr>
          <w:p w14:paraId="053F6168">
            <w:pPr>
              <w:keepNext/>
              <w:spacing w:line="440" w:lineRule="exact"/>
              <w:rPr>
                <w:rFonts w:hint="eastAsia" w:ascii="宋体" w:hAnsi="宋体" w:cs="宋体"/>
                <w:color w:val="auto"/>
                <w:szCs w:val="21"/>
                <w:highlight w:val="none"/>
              </w:rPr>
            </w:pPr>
          </w:p>
        </w:tc>
        <w:tc>
          <w:tcPr>
            <w:tcW w:w="1418" w:type="dxa"/>
            <w:tcBorders>
              <w:bottom w:val="single" w:color="auto" w:sz="12" w:space="0"/>
            </w:tcBorders>
          </w:tcPr>
          <w:p w14:paraId="699730E1">
            <w:pPr>
              <w:keepNext/>
              <w:spacing w:line="440" w:lineRule="exact"/>
              <w:rPr>
                <w:rFonts w:hint="eastAsia" w:ascii="宋体" w:hAnsi="宋体" w:cs="宋体"/>
                <w:color w:val="auto"/>
                <w:szCs w:val="21"/>
                <w:highlight w:val="none"/>
              </w:rPr>
            </w:pPr>
          </w:p>
        </w:tc>
        <w:tc>
          <w:tcPr>
            <w:tcW w:w="1701" w:type="dxa"/>
            <w:tcBorders>
              <w:bottom w:val="single" w:color="auto" w:sz="12" w:space="0"/>
            </w:tcBorders>
          </w:tcPr>
          <w:p w14:paraId="648442A2">
            <w:pPr>
              <w:keepNext/>
              <w:spacing w:line="440" w:lineRule="exact"/>
              <w:rPr>
                <w:rFonts w:hint="eastAsia" w:ascii="宋体" w:hAnsi="宋体" w:cs="宋体"/>
                <w:color w:val="auto"/>
                <w:szCs w:val="21"/>
                <w:highlight w:val="none"/>
              </w:rPr>
            </w:pPr>
          </w:p>
        </w:tc>
      </w:tr>
    </w:tbl>
    <w:p w14:paraId="00E6959D">
      <w:pPr>
        <w:rPr>
          <w:rFonts w:hint="eastAsia" w:ascii="宋体" w:hAnsi="宋体" w:cs="宋体"/>
          <w:color w:val="auto"/>
          <w:szCs w:val="21"/>
          <w:highlight w:val="none"/>
        </w:rPr>
      </w:pPr>
    </w:p>
    <w:p w14:paraId="54C0CDA5">
      <w:pPr>
        <w:rPr>
          <w:rFonts w:hint="eastAsia" w:ascii="宋体" w:hAnsi="宋体" w:cs="宋体"/>
          <w:color w:val="auto"/>
          <w:szCs w:val="22"/>
          <w:highlight w:val="none"/>
        </w:rPr>
      </w:pPr>
    </w:p>
    <w:p w14:paraId="1F77C853">
      <w:pPr>
        <w:rPr>
          <w:rFonts w:hint="eastAsia" w:ascii="宋体" w:hAnsi="宋体" w:cs="宋体"/>
          <w:color w:val="auto"/>
          <w:szCs w:val="22"/>
          <w:highlight w:val="none"/>
        </w:rPr>
      </w:pPr>
    </w:p>
    <w:p w14:paraId="3D01B1D0">
      <w:pPr>
        <w:keepNext/>
        <w:keepLines/>
        <w:spacing w:before="120" w:after="120" w:line="360" w:lineRule="auto"/>
        <w:jc w:val="left"/>
        <w:outlineLvl w:val="2"/>
        <w:rPr>
          <w:rFonts w:hint="eastAsia" w:ascii="宋体" w:hAnsi="宋体" w:cs="宋体"/>
          <w:color w:val="auto"/>
          <w:highlight w:val="none"/>
        </w:rPr>
        <w:sectPr>
          <w:footerReference r:id="rId6" w:type="default"/>
          <w:footnotePr>
            <w:numFmt w:val="decimalEnclosedCircleChinese"/>
            <w:numRestart w:val="eachPage"/>
          </w:footnotePr>
          <w:pgSz w:w="11907" w:h="16840"/>
          <w:pgMar w:top="1474" w:right="1474" w:bottom="1474" w:left="1474" w:header="799" w:footer="907" w:gutter="0"/>
          <w:pgNumType w:start="1"/>
          <w:cols w:space="720" w:num="1"/>
          <w:docGrid w:linePitch="271" w:charSpace="0"/>
        </w:sectPr>
      </w:pPr>
    </w:p>
    <w:p w14:paraId="2106DF0A">
      <w:pPr>
        <w:keepNext/>
        <w:keepLines/>
        <w:spacing w:before="120" w:after="120" w:line="360" w:lineRule="auto"/>
        <w:jc w:val="left"/>
        <w:outlineLvl w:val="2"/>
        <w:rPr>
          <w:rFonts w:hint="eastAsia" w:ascii="宋体" w:hAnsi="宋体" w:cs="宋体"/>
          <w:bCs/>
          <w:color w:val="auto"/>
          <w:sz w:val="24"/>
          <w:highlight w:val="none"/>
        </w:rPr>
      </w:pPr>
      <w:bookmarkStart w:id="1002" w:name="_Toc95223511"/>
      <w:r>
        <w:rPr>
          <w:rFonts w:hint="eastAsia" w:ascii="宋体" w:hAnsi="宋体" w:cs="宋体"/>
          <w:bCs/>
          <w:color w:val="auto"/>
          <w:sz w:val="24"/>
          <w:highlight w:val="none"/>
        </w:rPr>
        <w:t>附件9：安全生产合同</w:t>
      </w:r>
      <w:bookmarkEnd w:id="1002"/>
    </w:p>
    <w:p w14:paraId="731A1634">
      <w:pPr>
        <w:adjustRightInd w:val="0"/>
        <w:snapToGrid w:val="0"/>
        <w:spacing w:line="360" w:lineRule="auto"/>
        <w:jc w:val="center"/>
        <w:outlineLvl w:val="0"/>
        <w:rPr>
          <w:rFonts w:hint="eastAsia" w:ascii="宋体" w:hAnsi="宋体" w:cs="宋体"/>
          <w:b/>
          <w:color w:val="auto"/>
          <w:sz w:val="32"/>
          <w:szCs w:val="32"/>
          <w:highlight w:val="none"/>
        </w:rPr>
      </w:pPr>
      <w:bookmarkStart w:id="1003" w:name="_Toc31602"/>
      <w:bookmarkStart w:id="1004" w:name="_Toc16956"/>
      <w:bookmarkStart w:id="1005" w:name="_Toc26993"/>
      <w:bookmarkStart w:id="1006" w:name="_Toc32439"/>
      <w:bookmarkStart w:id="1007" w:name="_Toc95223512"/>
      <w:r>
        <w:rPr>
          <w:rFonts w:hint="eastAsia" w:ascii="宋体" w:hAnsi="宋体" w:cs="宋体"/>
          <w:b/>
          <w:color w:val="auto"/>
          <w:sz w:val="32"/>
          <w:szCs w:val="32"/>
          <w:highlight w:val="none"/>
        </w:rPr>
        <w:t>安全生产合同</w:t>
      </w:r>
      <w:bookmarkEnd w:id="1003"/>
      <w:bookmarkEnd w:id="1004"/>
      <w:bookmarkEnd w:id="1005"/>
      <w:bookmarkEnd w:id="1006"/>
      <w:bookmarkEnd w:id="1007"/>
    </w:p>
    <w:p w14:paraId="393BC3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14:paraId="74F1F7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1.发包人职责</w:t>
      </w:r>
    </w:p>
    <w:p w14:paraId="4EEE92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14:paraId="0EF8C2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14:paraId="0E2303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14:paraId="26CC6C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14:paraId="06823A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14:paraId="1DF21E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2.承包人职责</w:t>
      </w:r>
    </w:p>
    <w:p w14:paraId="719686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1505E0C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7357B9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648DA6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14:paraId="455DD4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1F9C84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43FC1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14:paraId="043708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14:paraId="60236F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14:paraId="1EA2E6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406736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14:paraId="26FFA7D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3.违约责任</w:t>
      </w:r>
    </w:p>
    <w:p w14:paraId="63C500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14:paraId="322A7D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14:paraId="78C4C4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14:paraId="343F8787">
      <w:pPr>
        <w:spacing w:line="360" w:lineRule="auto"/>
        <w:rPr>
          <w:rFonts w:hint="eastAsia" w:ascii="宋体" w:hAnsi="宋体" w:cs="宋体"/>
          <w:color w:val="auto"/>
          <w:szCs w:val="21"/>
          <w:highlight w:val="none"/>
        </w:rPr>
      </w:pPr>
    </w:p>
    <w:p w14:paraId="357D162C">
      <w:pPr>
        <w:spacing w:line="360" w:lineRule="auto"/>
        <w:rPr>
          <w:rFonts w:hint="eastAsia" w:ascii="宋体" w:hAnsi="宋体" w:cs="宋体"/>
          <w:color w:val="auto"/>
          <w:szCs w:val="21"/>
          <w:highlight w:val="none"/>
        </w:rPr>
      </w:pPr>
    </w:p>
    <w:p w14:paraId="3F48A88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10D77379">
      <w:pPr>
        <w:spacing w:line="360" w:lineRule="auto"/>
        <w:rPr>
          <w:rFonts w:hint="eastAsia" w:ascii="宋体" w:hAnsi="宋体" w:cs="宋体"/>
          <w:color w:val="auto"/>
          <w:szCs w:val="21"/>
          <w:highlight w:val="none"/>
        </w:rPr>
      </w:pPr>
    </w:p>
    <w:p w14:paraId="15553F2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24446265">
      <w:pPr>
        <w:spacing w:line="360" w:lineRule="auto"/>
        <w:rPr>
          <w:rFonts w:hint="eastAsia" w:ascii="宋体" w:hAnsi="宋体" w:cs="宋体"/>
          <w:color w:val="auto"/>
          <w:szCs w:val="21"/>
          <w:highlight w:val="none"/>
        </w:rPr>
      </w:pPr>
    </w:p>
    <w:p w14:paraId="3423FEC6">
      <w:pPr>
        <w:spacing w:line="360" w:lineRule="auto"/>
        <w:ind w:firstLine="84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6CD157B">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kern w:val="44"/>
          <w:sz w:val="32"/>
          <w:szCs w:val="44"/>
          <w:highlight w:val="none"/>
        </w:rPr>
        <w:br w:type="page"/>
      </w:r>
      <w:bookmarkStart w:id="1008" w:name="_Toc95223513"/>
      <w:r>
        <w:rPr>
          <w:rFonts w:hint="eastAsia" w:ascii="宋体" w:hAnsi="宋体" w:cs="宋体"/>
          <w:bCs/>
          <w:color w:val="auto"/>
          <w:sz w:val="24"/>
          <w:highlight w:val="none"/>
        </w:rPr>
        <w:t>附件10：项目经理质量终身责任制承诺</w:t>
      </w:r>
      <w:bookmarkEnd w:id="1008"/>
    </w:p>
    <w:p w14:paraId="096DC7A5">
      <w:pPr>
        <w:keepNext/>
        <w:keepLines/>
        <w:spacing w:before="120" w:after="120" w:line="360" w:lineRule="auto"/>
        <w:jc w:val="left"/>
        <w:outlineLvl w:val="2"/>
        <w:rPr>
          <w:rFonts w:hint="eastAsia" w:ascii="宋体" w:hAnsi="宋体" w:cs="宋体"/>
          <w:bCs/>
          <w:color w:val="auto"/>
          <w:sz w:val="24"/>
          <w:highlight w:val="none"/>
        </w:rPr>
      </w:pPr>
    </w:p>
    <w:p w14:paraId="3C9A2F3E">
      <w:pPr>
        <w:adjustRightInd w:val="0"/>
        <w:snapToGrid w:val="0"/>
        <w:spacing w:line="360" w:lineRule="auto"/>
        <w:jc w:val="center"/>
        <w:outlineLvl w:val="0"/>
        <w:rPr>
          <w:rFonts w:hint="eastAsia" w:ascii="宋体" w:hAnsi="宋体" w:cs="宋体"/>
          <w:b/>
          <w:color w:val="auto"/>
          <w:sz w:val="32"/>
          <w:szCs w:val="32"/>
          <w:highlight w:val="none"/>
        </w:rPr>
      </w:pPr>
      <w:bookmarkStart w:id="1009" w:name="_Toc95223514"/>
      <w:bookmarkStart w:id="1010" w:name="_Toc31476"/>
      <w:bookmarkStart w:id="1011" w:name="_Toc4934"/>
      <w:bookmarkStart w:id="1012" w:name="_Toc20282"/>
      <w:bookmarkStart w:id="1013" w:name="_Toc19059"/>
      <w:r>
        <w:rPr>
          <w:rFonts w:hint="eastAsia" w:ascii="宋体" w:hAnsi="宋体" w:cs="宋体"/>
          <w:b/>
          <w:color w:val="auto"/>
          <w:sz w:val="32"/>
          <w:szCs w:val="32"/>
          <w:highlight w:val="none"/>
        </w:rPr>
        <w:t>项目经理质量终身责任制承诺</w:t>
      </w:r>
      <w:bookmarkEnd w:id="1009"/>
      <w:bookmarkEnd w:id="1010"/>
      <w:bookmarkEnd w:id="1011"/>
      <w:bookmarkEnd w:id="1012"/>
      <w:bookmarkEnd w:id="1013"/>
    </w:p>
    <w:p w14:paraId="1A044E7B">
      <w:pPr>
        <w:adjustRightInd w:val="0"/>
        <w:snapToGrid w:val="0"/>
        <w:spacing w:line="360" w:lineRule="auto"/>
        <w:jc w:val="center"/>
        <w:outlineLvl w:val="0"/>
        <w:rPr>
          <w:rFonts w:hint="eastAsia" w:ascii="宋体" w:hAnsi="宋体" w:cs="宋体"/>
          <w:b/>
          <w:color w:val="auto"/>
          <w:sz w:val="32"/>
          <w:szCs w:val="32"/>
          <w:highlight w:val="none"/>
        </w:rPr>
      </w:pPr>
    </w:p>
    <w:p w14:paraId="0686190A">
      <w:pPr>
        <w:adjustRightInd w:val="0"/>
        <w:snapToGrid w:val="0"/>
        <w:spacing w:line="360" w:lineRule="auto"/>
        <w:rPr>
          <w:rFonts w:hint="eastAsia" w:ascii="宋体" w:hAnsi="宋体" w:cs="宋体"/>
          <w:bCs/>
          <w:color w:val="auto"/>
          <w:sz w:val="24"/>
          <w:szCs w:val="21"/>
          <w:highlight w:val="none"/>
        </w:rPr>
      </w:pPr>
      <w:r>
        <w:rPr>
          <w:rFonts w:hint="eastAsia" w:ascii="宋体" w:hAnsi="宋体" w:cs="宋体"/>
          <w:bCs/>
          <w:color w:val="auto"/>
          <w:sz w:val="24"/>
          <w:szCs w:val="21"/>
          <w:highlight w:val="none"/>
        </w:rPr>
        <w:t>致：______________(招标人名称)</w:t>
      </w:r>
    </w:p>
    <w:p w14:paraId="070936D8">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本人作为拟委任的施工项目经理，承担相关质量终身责任，现郑重承诺如下：</w:t>
      </w:r>
    </w:p>
    <w:p w14:paraId="1FA2136A">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一、在取得施工许可证后进行施工。</w:t>
      </w:r>
    </w:p>
    <w:p w14:paraId="56B0B3A3">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二、严格执行施工规范及标准。</w:t>
      </w:r>
    </w:p>
    <w:p w14:paraId="721A9BDC">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三、严格按规定配备施工项目部关键岗位人员，并确保所有人员到岗履职。</w:t>
      </w:r>
    </w:p>
    <w:p w14:paraId="34617D87">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四、严格按照经施工图审查机构审查合格的工程设计文件及合同约定的质量标准精心组织施工。</w:t>
      </w:r>
    </w:p>
    <w:p w14:paraId="47915A89">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五、施工中采用合格的建筑材料、建筑构配件和设备等，并严格按规定执行见证取样制度。</w:t>
      </w:r>
    </w:p>
    <w:p w14:paraId="3BF08D34">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六、建立、健全质量检查、验收制度，严格工序管理，做好隐蔽工程质量的检查和记录。</w:t>
      </w:r>
    </w:p>
    <w:p w14:paraId="67EF07C7">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七、对施工中出现的质量问题，及时进行整改。严格依法依规履行义务。</w:t>
      </w:r>
    </w:p>
    <w:p w14:paraId="45BEA905">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八、履行相关工程质量检查、验收及事故处理等职责。</w:t>
      </w:r>
    </w:p>
    <w:p w14:paraId="7A427E67">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九、履行其他法律法规规定的职责。</w:t>
      </w:r>
    </w:p>
    <w:p w14:paraId="2FC60D39">
      <w:pPr>
        <w:spacing w:line="360" w:lineRule="auto"/>
        <w:ind w:left="359" w:leftChars="171" w:firstLine="720" w:firstLineChars="300"/>
        <w:rPr>
          <w:rFonts w:hint="eastAsia" w:ascii="宋体" w:hAnsi="宋体" w:cs="宋体"/>
          <w:bCs/>
          <w:color w:val="auto"/>
          <w:sz w:val="24"/>
          <w:szCs w:val="21"/>
          <w:highlight w:val="none"/>
        </w:rPr>
      </w:pPr>
    </w:p>
    <w:p w14:paraId="2AF9C75B">
      <w:pPr>
        <w:spacing w:line="360" w:lineRule="auto"/>
        <w:ind w:left="359" w:leftChars="171" w:firstLine="720" w:firstLineChars="300"/>
        <w:rPr>
          <w:rFonts w:hint="eastAsia" w:ascii="宋体" w:hAnsi="宋体" w:cs="宋体"/>
          <w:bCs/>
          <w:color w:val="auto"/>
          <w:sz w:val="24"/>
          <w:szCs w:val="21"/>
          <w:highlight w:val="none"/>
        </w:rPr>
      </w:pPr>
    </w:p>
    <w:p w14:paraId="7C451DE4">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项目经理：</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（签字）</w:t>
      </w:r>
    </w:p>
    <w:p w14:paraId="5F07BC67">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日期：_____年____月____日</w:t>
      </w:r>
    </w:p>
    <w:p w14:paraId="11A1BC3C">
      <w:pPr>
        <w:pStyle w:val="2"/>
        <w:ind w:firstLine="420"/>
        <w:rPr>
          <w:color w:val="auto"/>
          <w:highlight w:val="none"/>
        </w:rPr>
      </w:pPr>
    </w:p>
    <w:p w14:paraId="4E596D03">
      <w:pPr>
        <w:rPr>
          <w:bCs/>
          <w:color w:val="auto"/>
          <w:szCs w:val="32"/>
          <w:highlight w:val="none"/>
        </w:rPr>
      </w:pPr>
    </w:p>
    <w:p w14:paraId="0ED2C3F1">
      <w:pPr>
        <w:rPr>
          <w:bCs/>
          <w:color w:val="auto"/>
          <w:szCs w:val="32"/>
          <w:highlight w:val="none"/>
        </w:rPr>
      </w:pPr>
    </w:p>
    <w:p w14:paraId="25F94FA3">
      <w:pPr>
        <w:rPr>
          <w:bCs/>
          <w:color w:val="auto"/>
          <w:szCs w:val="32"/>
          <w:highlight w:val="none"/>
        </w:rPr>
      </w:pPr>
    </w:p>
    <w:p w14:paraId="4DC12C12">
      <w:pPr>
        <w:rPr>
          <w:bCs/>
          <w:color w:val="auto"/>
          <w:szCs w:val="32"/>
          <w:highlight w:val="none"/>
        </w:rPr>
      </w:pPr>
    </w:p>
    <w:p w14:paraId="1331C09E">
      <w:pPr>
        <w:rPr>
          <w:bCs/>
          <w:color w:val="auto"/>
          <w:szCs w:val="32"/>
          <w:highlight w:val="none"/>
        </w:rPr>
      </w:pPr>
    </w:p>
    <w:p w14:paraId="0E59B02E">
      <w:pPr>
        <w:rPr>
          <w:bCs/>
          <w:color w:val="auto"/>
          <w:szCs w:val="32"/>
          <w:highlight w:val="none"/>
        </w:rPr>
      </w:pPr>
    </w:p>
    <w:p w14:paraId="71E74C8D">
      <w:pPr>
        <w:rPr>
          <w:bCs/>
          <w:color w:val="auto"/>
          <w:szCs w:val="32"/>
          <w:highlight w:val="none"/>
        </w:rPr>
      </w:pPr>
    </w:p>
    <w:p w14:paraId="2FE81C3B">
      <w:pPr>
        <w:rPr>
          <w:bCs/>
          <w:color w:val="auto"/>
          <w:szCs w:val="32"/>
          <w:highlight w:val="none"/>
        </w:rPr>
      </w:pPr>
    </w:p>
    <w:p w14:paraId="08C68A39">
      <w:pPr>
        <w:rPr>
          <w:bCs/>
          <w:color w:val="auto"/>
          <w:szCs w:val="32"/>
          <w:highlight w:val="none"/>
        </w:rPr>
      </w:pPr>
    </w:p>
    <w:p w14:paraId="5AF355A3">
      <w:pPr>
        <w:pStyle w:val="44"/>
        <w:numPr>
          <w:ilvl w:val="0"/>
          <w:numId w:val="8"/>
        </w:numPr>
        <w:spacing w:before="156" w:beforeLines="50" w:after="156" w:afterLines="50" w:line="440" w:lineRule="exact"/>
        <w:rPr>
          <w:bCs/>
          <w:color w:val="auto"/>
          <w:szCs w:val="32"/>
          <w:highlight w:val="none"/>
        </w:rPr>
      </w:pPr>
      <w:bookmarkStart w:id="1014" w:name="_Toc4767"/>
      <w:bookmarkStart w:id="1015" w:name="_Toc95223515"/>
      <w:r>
        <w:rPr>
          <w:rFonts w:hint="eastAsia"/>
          <w:bCs/>
          <w:color w:val="auto"/>
          <w:szCs w:val="32"/>
          <w:highlight w:val="none"/>
        </w:rPr>
        <w:t xml:space="preserve"> </w:t>
      </w:r>
      <w:bookmarkStart w:id="1016" w:name="_Toc10898"/>
      <w:bookmarkStart w:id="1017" w:name="_Toc3388"/>
      <w:r>
        <w:rPr>
          <w:rFonts w:hint="eastAsia"/>
          <w:bCs/>
          <w:color w:val="auto"/>
          <w:szCs w:val="32"/>
          <w:highlight w:val="none"/>
        </w:rPr>
        <w:t>工程量清单</w:t>
      </w:r>
      <w:bookmarkEnd w:id="1014"/>
      <w:bookmarkEnd w:id="1015"/>
      <w:bookmarkEnd w:id="1016"/>
      <w:bookmarkEnd w:id="1017"/>
    </w:p>
    <w:p w14:paraId="302653FC">
      <w:pPr>
        <w:adjustRightInd w:val="0"/>
        <w:snapToGrid w:val="0"/>
        <w:spacing w:line="360" w:lineRule="auto"/>
        <w:ind w:firstLine="422" w:firstLineChars="200"/>
        <w:rPr>
          <w:rFonts w:hint="eastAsia" w:ascii="宋体" w:hAnsi="宋体" w:cs="宋体"/>
          <w:b/>
          <w:bCs/>
          <w:color w:val="auto"/>
          <w:szCs w:val="21"/>
          <w:highlight w:val="none"/>
        </w:rPr>
      </w:pPr>
      <w:bookmarkStart w:id="1018" w:name="_Toc1620"/>
      <w:bookmarkStart w:id="1019" w:name="_Toc95223516"/>
      <w:r>
        <w:rPr>
          <w:rFonts w:hint="eastAsia" w:ascii="宋体" w:hAnsi="宋体" w:cs="宋体"/>
          <w:b/>
          <w:bCs/>
          <w:color w:val="auto"/>
          <w:szCs w:val="21"/>
          <w:highlight w:val="none"/>
        </w:rPr>
        <w:t>1. 计价依据</w:t>
      </w:r>
      <w:bookmarkEnd w:id="1018"/>
      <w:bookmarkEnd w:id="1019"/>
    </w:p>
    <w:p w14:paraId="2C5EB33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计价依据的确定符合国家法律法规、现行有关标准与规范，工程所在地的省、市工程定额和工程造价的规定以及工程造价信息要求。</w:t>
      </w:r>
    </w:p>
    <w:p w14:paraId="7C956E8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1.2 安全文明施工费按下表执行： </w:t>
      </w:r>
    </w:p>
    <w:tbl>
      <w:tblPr>
        <w:tblStyle w:val="47"/>
        <w:tblW w:w="10185" w:type="dxa"/>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6"/>
        <w:gridCol w:w="1061"/>
        <w:gridCol w:w="675"/>
        <w:gridCol w:w="950"/>
        <w:gridCol w:w="725"/>
        <w:gridCol w:w="850"/>
        <w:gridCol w:w="1150"/>
        <w:gridCol w:w="1125"/>
        <w:gridCol w:w="1213"/>
        <w:gridCol w:w="1150"/>
      </w:tblGrid>
      <w:tr w14:paraId="44770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286" w:type="dxa"/>
            <w:vMerge w:val="restart"/>
            <w:tcBorders>
              <w:top w:val="single" w:color="auto" w:sz="4" w:space="0"/>
              <w:left w:val="single" w:color="auto" w:sz="4" w:space="0"/>
              <w:bottom w:val="single" w:color="auto" w:sz="4" w:space="0"/>
              <w:right w:val="single" w:color="auto" w:sz="4" w:space="0"/>
            </w:tcBorders>
            <w:vAlign w:val="center"/>
          </w:tcPr>
          <w:p w14:paraId="4FB3BFCB">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061" w:type="dxa"/>
            <w:vMerge w:val="restart"/>
            <w:tcBorders>
              <w:top w:val="single" w:color="auto" w:sz="4" w:space="0"/>
              <w:left w:val="single" w:color="auto" w:sz="4" w:space="0"/>
              <w:bottom w:val="single" w:color="auto" w:sz="4" w:space="0"/>
              <w:right w:val="single" w:color="auto" w:sz="4" w:space="0"/>
            </w:tcBorders>
            <w:vAlign w:val="center"/>
          </w:tcPr>
          <w:p w14:paraId="0D6D5C50">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计费</w:t>
            </w:r>
          </w:p>
          <w:p w14:paraId="055D84FB">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基础</w:t>
            </w:r>
          </w:p>
        </w:tc>
        <w:tc>
          <w:tcPr>
            <w:tcW w:w="7838" w:type="dxa"/>
            <w:gridSpan w:val="8"/>
            <w:tcBorders>
              <w:top w:val="single" w:color="auto" w:sz="4" w:space="0"/>
              <w:left w:val="single" w:color="auto" w:sz="4" w:space="0"/>
              <w:bottom w:val="single" w:color="auto" w:sz="4" w:space="0"/>
              <w:right w:val="single" w:color="auto" w:sz="4" w:space="0"/>
            </w:tcBorders>
            <w:vAlign w:val="center"/>
          </w:tcPr>
          <w:p w14:paraId="1FE5FECB">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费率（%）</w:t>
            </w:r>
          </w:p>
        </w:tc>
      </w:tr>
      <w:tr w14:paraId="03475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1286" w:type="dxa"/>
            <w:vMerge w:val="continue"/>
            <w:tcBorders>
              <w:top w:val="single" w:color="auto" w:sz="4" w:space="0"/>
              <w:left w:val="single" w:color="auto" w:sz="4" w:space="0"/>
              <w:bottom w:val="single" w:color="auto" w:sz="4" w:space="0"/>
              <w:right w:val="single" w:color="auto" w:sz="4" w:space="0"/>
            </w:tcBorders>
            <w:vAlign w:val="center"/>
          </w:tcPr>
          <w:p w14:paraId="3E8F5AAE">
            <w:pPr>
              <w:widowControl/>
              <w:adjustRightInd w:val="0"/>
              <w:snapToGrid w:val="0"/>
              <w:spacing w:line="360" w:lineRule="auto"/>
              <w:jc w:val="center"/>
              <w:rPr>
                <w:rFonts w:hint="eastAsia" w:ascii="宋体" w:hAnsi="宋体" w:cs="宋体"/>
                <w:color w:val="auto"/>
                <w:szCs w:val="21"/>
                <w:highlight w:val="none"/>
              </w:rPr>
            </w:pPr>
          </w:p>
        </w:tc>
        <w:tc>
          <w:tcPr>
            <w:tcW w:w="1061" w:type="dxa"/>
            <w:vMerge w:val="continue"/>
            <w:tcBorders>
              <w:top w:val="single" w:color="auto" w:sz="4" w:space="0"/>
              <w:left w:val="single" w:color="auto" w:sz="4" w:space="0"/>
              <w:bottom w:val="single" w:color="auto" w:sz="4" w:space="0"/>
              <w:right w:val="single" w:color="auto" w:sz="4" w:space="0"/>
            </w:tcBorders>
            <w:vAlign w:val="center"/>
          </w:tcPr>
          <w:p w14:paraId="6481A23D">
            <w:pPr>
              <w:widowControl/>
              <w:adjustRightInd w:val="0"/>
              <w:snapToGrid w:val="0"/>
              <w:spacing w:line="360" w:lineRule="auto"/>
              <w:jc w:val="center"/>
              <w:rPr>
                <w:rFonts w:hint="eastAsia" w:ascii="宋体" w:hAnsi="宋体" w:cs="宋体"/>
                <w:color w:val="auto"/>
                <w:szCs w:val="21"/>
                <w:highlight w:val="none"/>
              </w:rPr>
            </w:pPr>
          </w:p>
        </w:tc>
        <w:tc>
          <w:tcPr>
            <w:tcW w:w="675" w:type="dxa"/>
            <w:vMerge w:val="restart"/>
            <w:tcBorders>
              <w:top w:val="single" w:color="auto" w:sz="4" w:space="0"/>
              <w:left w:val="single" w:color="auto" w:sz="4" w:space="0"/>
              <w:right w:val="single" w:color="auto" w:sz="4" w:space="0"/>
            </w:tcBorders>
            <w:vAlign w:val="center"/>
          </w:tcPr>
          <w:p w14:paraId="0C5EAC48">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建筑工程</w:t>
            </w:r>
          </w:p>
        </w:tc>
        <w:tc>
          <w:tcPr>
            <w:tcW w:w="950" w:type="dxa"/>
            <w:vMerge w:val="restart"/>
            <w:tcBorders>
              <w:top w:val="single" w:color="auto" w:sz="4" w:space="0"/>
              <w:left w:val="single" w:color="auto" w:sz="4" w:space="0"/>
              <w:right w:val="single" w:color="auto" w:sz="4" w:space="0"/>
            </w:tcBorders>
            <w:vAlign w:val="center"/>
          </w:tcPr>
          <w:p w14:paraId="42DCC430">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装饰装修工程</w:t>
            </w:r>
          </w:p>
        </w:tc>
        <w:tc>
          <w:tcPr>
            <w:tcW w:w="725" w:type="dxa"/>
            <w:vMerge w:val="restart"/>
            <w:tcBorders>
              <w:top w:val="single" w:color="auto" w:sz="4" w:space="0"/>
              <w:left w:val="single" w:color="auto" w:sz="4" w:space="0"/>
              <w:right w:val="single" w:color="auto" w:sz="4" w:space="0"/>
            </w:tcBorders>
            <w:vAlign w:val="center"/>
          </w:tcPr>
          <w:p w14:paraId="286C532E">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安装</w:t>
            </w:r>
          </w:p>
          <w:p w14:paraId="67D596A8">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850" w:type="dxa"/>
            <w:vMerge w:val="restart"/>
            <w:tcBorders>
              <w:top w:val="single" w:color="auto" w:sz="4" w:space="0"/>
              <w:left w:val="single" w:color="auto" w:sz="4" w:space="0"/>
              <w:right w:val="single" w:color="auto" w:sz="4" w:space="0"/>
            </w:tcBorders>
            <w:vAlign w:val="center"/>
          </w:tcPr>
          <w:p w14:paraId="69FC1B7B">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市政</w:t>
            </w:r>
          </w:p>
          <w:p w14:paraId="6BBC2514">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1F7B92D">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城市轨道交通工程</w:t>
            </w:r>
          </w:p>
        </w:tc>
        <w:tc>
          <w:tcPr>
            <w:tcW w:w="1213" w:type="dxa"/>
            <w:vMerge w:val="restart"/>
            <w:tcBorders>
              <w:top w:val="single" w:color="auto" w:sz="4" w:space="0"/>
              <w:left w:val="single" w:color="auto" w:sz="4" w:space="0"/>
              <w:right w:val="single" w:color="auto" w:sz="4" w:space="0"/>
            </w:tcBorders>
            <w:vAlign w:val="center"/>
          </w:tcPr>
          <w:p w14:paraId="50641998">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园林绿化工程</w:t>
            </w:r>
          </w:p>
        </w:tc>
        <w:tc>
          <w:tcPr>
            <w:tcW w:w="1150" w:type="dxa"/>
            <w:vMerge w:val="restart"/>
            <w:tcBorders>
              <w:top w:val="single" w:color="auto" w:sz="4" w:space="0"/>
              <w:left w:val="single" w:color="auto" w:sz="4" w:space="0"/>
              <w:right w:val="single" w:color="auto" w:sz="4" w:space="0"/>
            </w:tcBorders>
            <w:vAlign w:val="center"/>
          </w:tcPr>
          <w:p w14:paraId="1E96E179">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仿古建筑工程</w:t>
            </w:r>
          </w:p>
        </w:tc>
      </w:tr>
      <w:tr w14:paraId="28ECC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286" w:type="dxa"/>
            <w:vMerge w:val="continue"/>
            <w:tcBorders>
              <w:left w:val="single" w:color="auto" w:sz="4" w:space="0"/>
              <w:bottom w:val="single" w:color="auto" w:sz="4" w:space="0"/>
              <w:right w:val="single" w:color="auto" w:sz="4" w:space="0"/>
            </w:tcBorders>
            <w:vAlign w:val="center"/>
          </w:tcPr>
          <w:p w14:paraId="3B1F395F">
            <w:pPr>
              <w:widowControl/>
              <w:adjustRightInd w:val="0"/>
              <w:snapToGrid w:val="0"/>
              <w:spacing w:line="360" w:lineRule="auto"/>
              <w:jc w:val="center"/>
              <w:rPr>
                <w:rFonts w:hint="eastAsia" w:ascii="宋体" w:hAnsi="宋体" w:cs="宋体"/>
                <w:color w:val="auto"/>
                <w:szCs w:val="21"/>
                <w:highlight w:val="none"/>
              </w:rPr>
            </w:pPr>
          </w:p>
        </w:tc>
        <w:tc>
          <w:tcPr>
            <w:tcW w:w="1061" w:type="dxa"/>
            <w:vMerge w:val="continue"/>
            <w:tcBorders>
              <w:left w:val="single" w:color="auto" w:sz="4" w:space="0"/>
              <w:bottom w:val="single" w:color="auto" w:sz="4" w:space="0"/>
              <w:right w:val="single" w:color="auto" w:sz="4" w:space="0"/>
            </w:tcBorders>
            <w:vAlign w:val="center"/>
          </w:tcPr>
          <w:p w14:paraId="12D87355">
            <w:pPr>
              <w:widowControl/>
              <w:adjustRightInd w:val="0"/>
              <w:snapToGrid w:val="0"/>
              <w:spacing w:line="360" w:lineRule="auto"/>
              <w:jc w:val="center"/>
              <w:rPr>
                <w:rFonts w:hint="eastAsia" w:ascii="宋体" w:hAnsi="宋体" w:cs="宋体"/>
                <w:color w:val="auto"/>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6DE4F486">
            <w:pPr>
              <w:adjustRightInd w:val="0"/>
              <w:snapToGrid w:val="0"/>
              <w:spacing w:line="360" w:lineRule="auto"/>
              <w:jc w:val="center"/>
              <w:rPr>
                <w:rFonts w:hint="eastAsia" w:ascii="宋体" w:hAnsi="宋体" w:cs="宋体"/>
                <w:color w:val="auto"/>
                <w:szCs w:val="21"/>
                <w:highlight w:val="none"/>
              </w:rPr>
            </w:pPr>
          </w:p>
        </w:tc>
        <w:tc>
          <w:tcPr>
            <w:tcW w:w="950" w:type="dxa"/>
            <w:vMerge w:val="continue"/>
            <w:tcBorders>
              <w:left w:val="single" w:color="auto" w:sz="4" w:space="0"/>
              <w:bottom w:val="single" w:color="auto" w:sz="4" w:space="0"/>
              <w:right w:val="single" w:color="auto" w:sz="4" w:space="0"/>
            </w:tcBorders>
            <w:vAlign w:val="center"/>
          </w:tcPr>
          <w:p w14:paraId="40764910">
            <w:pPr>
              <w:adjustRightInd w:val="0"/>
              <w:snapToGrid w:val="0"/>
              <w:spacing w:line="360" w:lineRule="auto"/>
              <w:jc w:val="center"/>
              <w:rPr>
                <w:rFonts w:hint="eastAsia" w:ascii="宋体" w:hAnsi="宋体" w:cs="宋体"/>
                <w:color w:val="auto"/>
                <w:szCs w:val="21"/>
                <w:highlight w:val="none"/>
              </w:rPr>
            </w:pPr>
          </w:p>
        </w:tc>
        <w:tc>
          <w:tcPr>
            <w:tcW w:w="725" w:type="dxa"/>
            <w:vMerge w:val="continue"/>
            <w:tcBorders>
              <w:left w:val="single" w:color="auto" w:sz="4" w:space="0"/>
              <w:bottom w:val="single" w:color="auto" w:sz="4" w:space="0"/>
              <w:right w:val="single" w:color="auto" w:sz="4" w:space="0"/>
            </w:tcBorders>
            <w:vAlign w:val="center"/>
          </w:tcPr>
          <w:p w14:paraId="6D74EDC3">
            <w:pPr>
              <w:adjustRightInd w:val="0"/>
              <w:snapToGrid w:val="0"/>
              <w:spacing w:line="360" w:lineRule="auto"/>
              <w:jc w:val="center"/>
              <w:rPr>
                <w:rFonts w:hint="eastAsia" w:ascii="宋体" w:hAnsi="宋体" w:cs="宋体"/>
                <w:color w:val="auto"/>
                <w:szCs w:val="21"/>
                <w:highlight w:val="none"/>
              </w:rPr>
            </w:pPr>
          </w:p>
        </w:tc>
        <w:tc>
          <w:tcPr>
            <w:tcW w:w="850" w:type="dxa"/>
            <w:vMerge w:val="continue"/>
            <w:tcBorders>
              <w:left w:val="single" w:color="auto" w:sz="4" w:space="0"/>
              <w:bottom w:val="single" w:color="auto" w:sz="4" w:space="0"/>
              <w:right w:val="single" w:color="auto" w:sz="4" w:space="0"/>
            </w:tcBorders>
            <w:vAlign w:val="center"/>
          </w:tcPr>
          <w:p w14:paraId="037AEB0C">
            <w:pPr>
              <w:adjustRightInd w:val="0"/>
              <w:snapToGrid w:val="0"/>
              <w:spacing w:line="360" w:lineRule="auto"/>
              <w:jc w:val="center"/>
              <w:rPr>
                <w:rFonts w:hint="eastAsia" w:ascii="宋体" w:hAnsi="宋体" w:cs="宋体"/>
                <w:color w:val="auto"/>
                <w:szCs w:val="21"/>
                <w:highlight w:val="none"/>
              </w:rPr>
            </w:pPr>
          </w:p>
        </w:tc>
        <w:tc>
          <w:tcPr>
            <w:tcW w:w="1150" w:type="dxa"/>
            <w:tcBorders>
              <w:top w:val="single" w:color="auto" w:sz="4" w:space="0"/>
              <w:left w:val="single" w:color="auto" w:sz="4" w:space="0"/>
              <w:bottom w:val="single" w:color="auto" w:sz="4" w:space="0"/>
              <w:right w:val="single" w:color="auto" w:sz="4" w:space="0"/>
            </w:tcBorders>
            <w:vAlign w:val="center"/>
          </w:tcPr>
          <w:p w14:paraId="4256247B">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建筑</w:t>
            </w:r>
          </w:p>
          <w:p w14:paraId="3A659A4C">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1125" w:type="dxa"/>
            <w:tcBorders>
              <w:top w:val="single" w:color="auto" w:sz="4" w:space="0"/>
              <w:left w:val="single" w:color="auto" w:sz="4" w:space="0"/>
              <w:bottom w:val="single" w:color="auto" w:sz="4" w:space="0"/>
              <w:right w:val="single" w:color="auto" w:sz="4" w:space="0"/>
            </w:tcBorders>
            <w:vAlign w:val="center"/>
          </w:tcPr>
          <w:p w14:paraId="4B5F2DCB">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安装</w:t>
            </w:r>
          </w:p>
          <w:p w14:paraId="2CCC2B0A">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1213" w:type="dxa"/>
            <w:vMerge w:val="continue"/>
            <w:tcBorders>
              <w:left w:val="single" w:color="auto" w:sz="4" w:space="0"/>
              <w:bottom w:val="single" w:color="auto" w:sz="4" w:space="0"/>
              <w:right w:val="single" w:color="auto" w:sz="4" w:space="0"/>
            </w:tcBorders>
            <w:vAlign w:val="center"/>
          </w:tcPr>
          <w:p w14:paraId="3CB05AAA">
            <w:pPr>
              <w:adjustRightInd w:val="0"/>
              <w:snapToGrid w:val="0"/>
              <w:spacing w:line="360" w:lineRule="auto"/>
              <w:jc w:val="center"/>
              <w:rPr>
                <w:rFonts w:hint="eastAsia" w:ascii="宋体" w:hAnsi="宋体" w:cs="宋体"/>
                <w:color w:val="auto"/>
                <w:szCs w:val="21"/>
                <w:highlight w:val="none"/>
              </w:rPr>
            </w:pPr>
          </w:p>
        </w:tc>
        <w:tc>
          <w:tcPr>
            <w:tcW w:w="1150" w:type="dxa"/>
            <w:vMerge w:val="continue"/>
            <w:tcBorders>
              <w:left w:val="single" w:color="auto" w:sz="4" w:space="0"/>
              <w:bottom w:val="single" w:color="auto" w:sz="4" w:space="0"/>
              <w:right w:val="single" w:color="auto" w:sz="4" w:space="0"/>
            </w:tcBorders>
            <w:vAlign w:val="center"/>
          </w:tcPr>
          <w:p w14:paraId="7C66523F">
            <w:pPr>
              <w:adjustRightInd w:val="0"/>
              <w:snapToGrid w:val="0"/>
              <w:spacing w:line="360" w:lineRule="auto"/>
              <w:jc w:val="center"/>
              <w:rPr>
                <w:rFonts w:hint="eastAsia" w:ascii="宋体" w:hAnsi="宋体" w:cs="宋体"/>
                <w:color w:val="auto"/>
                <w:szCs w:val="21"/>
                <w:highlight w:val="none"/>
              </w:rPr>
            </w:pPr>
          </w:p>
        </w:tc>
      </w:tr>
      <w:tr w14:paraId="72404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1286" w:type="dxa"/>
            <w:tcBorders>
              <w:top w:val="single" w:color="auto" w:sz="4" w:space="0"/>
              <w:left w:val="single" w:color="auto" w:sz="4" w:space="0"/>
              <w:right w:val="single" w:color="auto" w:sz="4" w:space="0"/>
            </w:tcBorders>
            <w:vAlign w:val="center"/>
          </w:tcPr>
          <w:p w14:paraId="55587C2C">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环境保护费</w:t>
            </w:r>
          </w:p>
        </w:tc>
        <w:tc>
          <w:tcPr>
            <w:tcW w:w="1061" w:type="dxa"/>
            <w:vMerge w:val="restart"/>
            <w:tcBorders>
              <w:top w:val="single" w:color="auto" w:sz="4" w:space="0"/>
              <w:left w:val="single" w:color="auto" w:sz="4" w:space="0"/>
              <w:bottom w:val="single" w:color="auto" w:sz="4" w:space="0"/>
              <w:right w:val="single" w:color="auto" w:sz="4" w:space="0"/>
            </w:tcBorders>
            <w:vAlign w:val="center"/>
          </w:tcPr>
          <w:p w14:paraId="20B6ED9F">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定额</w:t>
            </w:r>
          </w:p>
          <w:p w14:paraId="476C3256">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人工费</w:t>
            </w:r>
          </w:p>
          <w:p w14:paraId="2DBC0156">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p w14:paraId="77350FD7">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定额</w:t>
            </w:r>
          </w:p>
          <w:p w14:paraId="522965FB">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机械费</w:t>
            </w:r>
          </w:p>
        </w:tc>
        <w:tc>
          <w:tcPr>
            <w:tcW w:w="675" w:type="dxa"/>
            <w:tcBorders>
              <w:top w:val="single" w:color="auto" w:sz="4" w:space="0"/>
              <w:left w:val="single" w:color="auto" w:sz="4" w:space="0"/>
              <w:bottom w:val="single" w:color="auto" w:sz="4" w:space="0"/>
              <w:right w:val="single" w:color="auto" w:sz="4" w:space="0"/>
            </w:tcBorders>
            <w:vAlign w:val="center"/>
          </w:tcPr>
          <w:p w14:paraId="57DF92AE">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3.28</w:t>
            </w:r>
          </w:p>
        </w:tc>
        <w:tc>
          <w:tcPr>
            <w:tcW w:w="950" w:type="dxa"/>
            <w:tcBorders>
              <w:top w:val="single" w:color="auto" w:sz="4" w:space="0"/>
              <w:left w:val="single" w:color="auto" w:sz="4" w:space="0"/>
              <w:bottom w:val="single" w:color="auto" w:sz="4" w:space="0"/>
              <w:right w:val="single" w:color="auto" w:sz="4" w:space="0"/>
            </w:tcBorders>
            <w:vAlign w:val="center"/>
          </w:tcPr>
          <w:p w14:paraId="49BC6AB2">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2.60</w:t>
            </w:r>
          </w:p>
        </w:tc>
        <w:tc>
          <w:tcPr>
            <w:tcW w:w="725" w:type="dxa"/>
            <w:tcBorders>
              <w:top w:val="single" w:color="auto" w:sz="4" w:space="0"/>
              <w:left w:val="single" w:color="auto" w:sz="4" w:space="0"/>
              <w:bottom w:val="single" w:color="auto" w:sz="4" w:space="0"/>
              <w:right w:val="single" w:color="auto" w:sz="4" w:space="0"/>
            </w:tcBorders>
            <w:vAlign w:val="center"/>
          </w:tcPr>
          <w:p w14:paraId="1221D068">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1.78</w:t>
            </w:r>
          </w:p>
        </w:tc>
        <w:tc>
          <w:tcPr>
            <w:tcW w:w="850" w:type="dxa"/>
            <w:tcBorders>
              <w:top w:val="single" w:color="auto" w:sz="4" w:space="0"/>
              <w:left w:val="single" w:color="auto" w:sz="4" w:space="0"/>
              <w:bottom w:val="single" w:color="auto" w:sz="4" w:space="0"/>
              <w:right w:val="single" w:color="auto" w:sz="4" w:space="0"/>
            </w:tcBorders>
            <w:vAlign w:val="center"/>
          </w:tcPr>
          <w:p w14:paraId="3E84ECF2">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3.57</w:t>
            </w:r>
          </w:p>
        </w:tc>
        <w:tc>
          <w:tcPr>
            <w:tcW w:w="1150" w:type="dxa"/>
            <w:tcBorders>
              <w:top w:val="single" w:color="auto" w:sz="4" w:space="0"/>
              <w:left w:val="single" w:color="auto" w:sz="4" w:space="0"/>
              <w:bottom w:val="single" w:color="auto" w:sz="4" w:space="0"/>
              <w:right w:val="single" w:color="auto" w:sz="4" w:space="0"/>
            </w:tcBorders>
            <w:vAlign w:val="center"/>
          </w:tcPr>
          <w:p w14:paraId="2FDE703B">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2.46</w:t>
            </w:r>
          </w:p>
        </w:tc>
        <w:tc>
          <w:tcPr>
            <w:tcW w:w="1125" w:type="dxa"/>
            <w:tcBorders>
              <w:top w:val="single" w:color="auto" w:sz="4" w:space="0"/>
              <w:left w:val="single" w:color="auto" w:sz="4" w:space="0"/>
              <w:bottom w:val="single" w:color="auto" w:sz="4" w:space="0"/>
              <w:right w:val="single" w:color="auto" w:sz="4" w:space="0"/>
            </w:tcBorders>
            <w:vAlign w:val="center"/>
          </w:tcPr>
          <w:p w14:paraId="2A9663AB">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1.57</w:t>
            </w:r>
          </w:p>
        </w:tc>
        <w:tc>
          <w:tcPr>
            <w:tcW w:w="1213" w:type="dxa"/>
            <w:tcBorders>
              <w:top w:val="single" w:color="auto" w:sz="4" w:space="0"/>
              <w:left w:val="single" w:color="auto" w:sz="4" w:space="0"/>
              <w:bottom w:val="single" w:color="auto" w:sz="4" w:space="0"/>
              <w:right w:val="single" w:color="auto" w:sz="4" w:space="0"/>
            </w:tcBorders>
            <w:vAlign w:val="center"/>
          </w:tcPr>
          <w:p w14:paraId="4C11446C">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1.75</w:t>
            </w:r>
          </w:p>
        </w:tc>
        <w:tc>
          <w:tcPr>
            <w:tcW w:w="1150" w:type="dxa"/>
            <w:tcBorders>
              <w:top w:val="single" w:color="auto" w:sz="4" w:space="0"/>
              <w:left w:val="single" w:color="auto" w:sz="4" w:space="0"/>
              <w:bottom w:val="single" w:color="auto" w:sz="4" w:space="0"/>
              <w:right w:val="single" w:color="auto" w:sz="4" w:space="0"/>
            </w:tcBorders>
            <w:vAlign w:val="center"/>
          </w:tcPr>
          <w:p w14:paraId="7AD44FC9">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2.07</w:t>
            </w:r>
          </w:p>
        </w:tc>
      </w:tr>
      <w:tr w14:paraId="2B8D9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vAlign w:val="center"/>
          </w:tcPr>
          <w:p w14:paraId="16FCF841">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文明施工费</w:t>
            </w:r>
          </w:p>
        </w:tc>
        <w:tc>
          <w:tcPr>
            <w:tcW w:w="1061" w:type="dxa"/>
            <w:vMerge w:val="continue"/>
            <w:tcBorders>
              <w:top w:val="single" w:color="auto" w:sz="4" w:space="0"/>
              <w:left w:val="single" w:color="auto" w:sz="4" w:space="0"/>
              <w:bottom w:val="single" w:color="auto" w:sz="4" w:space="0"/>
              <w:right w:val="single" w:color="auto" w:sz="4" w:space="0"/>
            </w:tcBorders>
            <w:vAlign w:val="center"/>
          </w:tcPr>
          <w:p w14:paraId="03364AA0">
            <w:pPr>
              <w:widowControl/>
              <w:adjustRightInd w:val="0"/>
              <w:snapToGrid w:val="0"/>
              <w:spacing w:line="360" w:lineRule="auto"/>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vAlign w:val="center"/>
          </w:tcPr>
          <w:p w14:paraId="45BD3908">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5.12</w:t>
            </w:r>
          </w:p>
        </w:tc>
        <w:tc>
          <w:tcPr>
            <w:tcW w:w="950" w:type="dxa"/>
            <w:tcBorders>
              <w:top w:val="single" w:color="auto" w:sz="4" w:space="0"/>
              <w:left w:val="single" w:color="auto" w:sz="4" w:space="0"/>
              <w:bottom w:val="single" w:color="auto" w:sz="4" w:space="0"/>
              <w:right w:val="single" w:color="auto" w:sz="4" w:space="0"/>
            </w:tcBorders>
            <w:vAlign w:val="center"/>
          </w:tcPr>
          <w:p w14:paraId="36A8BE73">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4.50</w:t>
            </w:r>
          </w:p>
        </w:tc>
        <w:tc>
          <w:tcPr>
            <w:tcW w:w="725" w:type="dxa"/>
            <w:tcBorders>
              <w:top w:val="single" w:color="auto" w:sz="4" w:space="0"/>
              <w:left w:val="single" w:color="auto" w:sz="4" w:space="0"/>
              <w:bottom w:val="single" w:color="auto" w:sz="4" w:space="0"/>
              <w:right w:val="single" w:color="auto" w:sz="4" w:space="0"/>
            </w:tcBorders>
            <w:vAlign w:val="center"/>
          </w:tcPr>
          <w:p w14:paraId="7FA2130F">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6.10</w:t>
            </w:r>
          </w:p>
        </w:tc>
        <w:tc>
          <w:tcPr>
            <w:tcW w:w="850" w:type="dxa"/>
            <w:tcBorders>
              <w:top w:val="single" w:color="auto" w:sz="4" w:space="0"/>
              <w:left w:val="single" w:color="auto" w:sz="4" w:space="0"/>
              <w:bottom w:val="single" w:color="auto" w:sz="4" w:space="0"/>
              <w:right w:val="single" w:color="auto" w:sz="4" w:space="0"/>
            </w:tcBorders>
            <w:vAlign w:val="center"/>
          </w:tcPr>
          <w:p w14:paraId="62C77755">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7.33</w:t>
            </w:r>
          </w:p>
        </w:tc>
        <w:tc>
          <w:tcPr>
            <w:tcW w:w="1150" w:type="dxa"/>
            <w:tcBorders>
              <w:top w:val="single" w:color="auto" w:sz="4" w:space="0"/>
              <w:left w:val="single" w:color="auto" w:sz="4" w:space="0"/>
              <w:bottom w:val="single" w:color="auto" w:sz="4" w:space="0"/>
              <w:right w:val="single" w:color="auto" w:sz="4" w:space="0"/>
            </w:tcBorders>
            <w:vAlign w:val="center"/>
          </w:tcPr>
          <w:p w14:paraId="352EDF3E">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9.24</w:t>
            </w:r>
          </w:p>
        </w:tc>
        <w:tc>
          <w:tcPr>
            <w:tcW w:w="1125" w:type="dxa"/>
            <w:tcBorders>
              <w:top w:val="single" w:color="auto" w:sz="4" w:space="0"/>
              <w:left w:val="single" w:color="auto" w:sz="4" w:space="0"/>
              <w:bottom w:val="single" w:color="auto" w:sz="4" w:space="0"/>
              <w:right w:val="single" w:color="auto" w:sz="4" w:space="0"/>
            </w:tcBorders>
            <w:vAlign w:val="center"/>
          </w:tcPr>
          <w:p w14:paraId="126AEC5E">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6.30</w:t>
            </w:r>
          </w:p>
        </w:tc>
        <w:tc>
          <w:tcPr>
            <w:tcW w:w="1213" w:type="dxa"/>
            <w:tcBorders>
              <w:top w:val="single" w:color="auto" w:sz="4" w:space="0"/>
              <w:left w:val="single" w:color="auto" w:sz="4" w:space="0"/>
              <w:bottom w:val="single" w:color="auto" w:sz="4" w:space="0"/>
              <w:right w:val="single" w:color="auto" w:sz="4" w:space="0"/>
            </w:tcBorders>
            <w:vAlign w:val="center"/>
          </w:tcPr>
          <w:p w14:paraId="33CBE7F0">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3.05</w:t>
            </w:r>
          </w:p>
        </w:tc>
        <w:tc>
          <w:tcPr>
            <w:tcW w:w="1150" w:type="dxa"/>
            <w:tcBorders>
              <w:top w:val="single" w:color="auto" w:sz="4" w:space="0"/>
              <w:left w:val="single" w:color="auto" w:sz="4" w:space="0"/>
              <w:bottom w:val="single" w:color="auto" w:sz="4" w:space="0"/>
              <w:right w:val="single" w:color="auto" w:sz="4" w:space="0"/>
            </w:tcBorders>
            <w:vAlign w:val="center"/>
          </w:tcPr>
          <w:p w14:paraId="13D8296C">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4.67</w:t>
            </w:r>
          </w:p>
        </w:tc>
      </w:tr>
      <w:tr w14:paraId="41277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vAlign w:val="center"/>
          </w:tcPr>
          <w:p w14:paraId="3421AFDE">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安全施工费</w:t>
            </w:r>
          </w:p>
        </w:tc>
        <w:tc>
          <w:tcPr>
            <w:tcW w:w="1061" w:type="dxa"/>
            <w:vMerge w:val="continue"/>
            <w:tcBorders>
              <w:top w:val="single" w:color="auto" w:sz="4" w:space="0"/>
              <w:left w:val="single" w:color="auto" w:sz="4" w:space="0"/>
              <w:bottom w:val="single" w:color="auto" w:sz="4" w:space="0"/>
              <w:right w:val="single" w:color="auto" w:sz="4" w:space="0"/>
            </w:tcBorders>
            <w:vAlign w:val="center"/>
          </w:tcPr>
          <w:p w14:paraId="026205D8">
            <w:pPr>
              <w:widowControl/>
              <w:adjustRightInd w:val="0"/>
              <w:snapToGrid w:val="0"/>
              <w:spacing w:line="360" w:lineRule="auto"/>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vAlign w:val="center"/>
          </w:tcPr>
          <w:p w14:paraId="592A5B98">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4.13</w:t>
            </w:r>
          </w:p>
        </w:tc>
        <w:tc>
          <w:tcPr>
            <w:tcW w:w="950" w:type="dxa"/>
            <w:tcBorders>
              <w:top w:val="single" w:color="auto" w:sz="4" w:space="0"/>
              <w:left w:val="single" w:color="auto" w:sz="4" w:space="0"/>
              <w:bottom w:val="single" w:color="auto" w:sz="4" w:space="0"/>
              <w:right w:val="single" w:color="auto" w:sz="4" w:space="0"/>
            </w:tcBorders>
            <w:vAlign w:val="center"/>
          </w:tcPr>
          <w:p w14:paraId="51734118">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3.10</w:t>
            </w:r>
          </w:p>
        </w:tc>
        <w:tc>
          <w:tcPr>
            <w:tcW w:w="725" w:type="dxa"/>
            <w:tcBorders>
              <w:top w:val="single" w:color="auto" w:sz="4" w:space="0"/>
              <w:left w:val="single" w:color="auto" w:sz="4" w:space="0"/>
              <w:bottom w:val="single" w:color="auto" w:sz="4" w:space="0"/>
              <w:right w:val="single" w:color="auto" w:sz="4" w:space="0"/>
            </w:tcBorders>
            <w:vAlign w:val="center"/>
          </w:tcPr>
          <w:p w14:paraId="3B840A9F">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4.22</w:t>
            </w:r>
          </w:p>
        </w:tc>
        <w:tc>
          <w:tcPr>
            <w:tcW w:w="850" w:type="dxa"/>
            <w:tcBorders>
              <w:top w:val="single" w:color="auto" w:sz="4" w:space="0"/>
              <w:left w:val="single" w:color="auto" w:sz="4" w:space="0"/>
              <w:bottom w:val="single" w:color="auto" w:sz="4" w:space="0"/>
              <w:right w:val="single" w:color="auto" w:sz="4" w:space="0"/>
            </w:tcBorders>
            <w:vAlign w:val="center"/>
          </w:tcPr>
          <w:p w14:paraId="106ED7E0">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5.28</w:t>
            </w:r>
          </w:p>
        </w:tc>
        <w:tc>
          <w:tcPr>
            <w:tcW w:w="1150" w:type="dxa"/>
            <w:tcBorders>
              <w:top w:val="single" w:color="auto" w:sz="4" w:space="0"/>
              <w:left w:val="single" w:color="auto" w:sz="4" w:space="0"/>
              <w:bottom w:val="single" w:color="auto" w:sz="4" w:space="0"/>
              <w:right w:val="single" w:color="auto" w:sz="4" w:space="0"/>
            </w:tcBorders>
            <w:vAlign w:val="center"/>
          </w:tcPr>
          <w:p w14:paraId="19DDA13F">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4.30</w:t>
            </w:r>
          </w:p>
        </w:tc>
        <w:tc>
          <w:tcPr>
            <w:tcW w:w="1125" w:type="dxa"/>
            <w:tcBorders>
              <w:top w:val="single" w:color="auto" w:sz="4" w:space="0"/>
              <w:left w:val="single" w:color="auto" w:sz="4" w:space="0"/>
              <w:bottom w:val="single" w:color="auto" w:sz="4" w:space="0"/>
              <w:right w:val="single" w:color="auto" w:sz="4" w:space="0"/>
            </w:tcBorders>
            <w:vAlign w:val="center"/>
          </w:tcPr>
          <w:p w14:paraId="2D584D20">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3.23</w:t>
            </w:r>
          </w:p>
        </w:tc>
        <w:tc>
          <w:tcPr>
            <w:tcW w:w="1213" w:type="dxa"/>
            <w:tcBorders>
              <w:top w:val="single" w:color="auto" w:sz="4" w:space="0"/>
              <w:left w:val="single" w:color="auto" w:sz="4" w:space="0"/>
              <w:bottom w:val="single" w:color="auto" w:sz="4" w:space="0"/>
              <w:right w:val="single" w:color="auto" w:sz="4" w:space="0"/>
            </w:tcBorders>
            <w:vAlign w:val="center"/>
          </w:tcPr>
          <w:p w14:paraId="71B1A53C">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2.16</w:t>
            </w:r>
          </w:p>
        </w:tc>
        <w:tc>
          <w:tcPr>
            <w:tcW w:w="1150" w:type="dxa"/>
            <w:tcBorders>
              <w:top w:val="single" w:color="auto" w:sz="4" w:space="0"/>
              <w:left w:val="single" w:color="auto" w:sz="4" w:space="0"/>
              <w:bottom w:val="single" w:color="auto" w:sz="4" w:space="0"/>
              <w:right w:val="single" w:color="auto" w:sz="4" w:space="0"/>
            </w:tcBorders>
            <w:vAlign w:val="center"/>
          </w:tcPr>
          <w:p w14:paraId="7314AABB">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2.27</w:t>
            </w:r>
          </w:p>
        </w:tc>
      </w:tr>
      <w:tr w14:paraId="4E335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vAlign w:val="center"/>
          </w:tcPr>
          <w:p w14:paraId="45E80746">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临时设施费</w:t>
            </w:r>
          </w:p>
        </w:tc>
        <w:tc>
          <w:tcPr>
            <w:tcW w:w="1061" w:type="dxa"/>
            <w:vMerge w:val="continue"/>
            <w:tcBorders>
              <w:top w:val="single" w:color="auto" w:sz="4" w:space="0"/>
              <w:left w:val="single" w:color="auto" w:sz="4" w:space="0"/>
              <w:bottom w:val="single" w:color="auto" w:sz="4" w:space="0"/>
              <w:right w:val="single" w:color="auto" w:sz="4" w:space="0"/>
            </w:tcBorders>
            <w:vAlign w:val="center"/>
          </w:tcPr>
          <w:p w14:paraId="3975D46A">
            <w:pPr>
              <w:widowControl/>
              <w:adjustRightInd w:val="0"/>
              <w:snapToGrid w:val="0"/>
              <w:spacing w:line="360" w:lineRule="auto"/>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vAlign w:val="center"/>
          </w:tcPr>
          <w:p w14:paraId="1AC3CB21">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8.10</w:t>
            </w:r>
          </w:p>
        </w:tc>
        <w:tc>
          <w:tcPr>
            <w:tcW w:w="950" w:type="dxa"/>
            <w:tcBorders>
              <w:top w:val="single" w:color="auto" w:sz="4" w:space="0"/>
              <w:left w:val="single" w:color="auto" w:sz="4" w:space="0"/>
              <w:bottom w:val="single" w:color="auto" w:sz="4" w:space="0"/>
              <w:right w:val="single" w:color="auto" w:sz="4" w:space="0"/>
            </w:tcBorders>
            <w:vAlign w:val="center"/>
          </w:tcPr>
          <w:p w14:paraId="78235D96">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5.80</w:t>
            </w:r>
          </w:p>
        </w:tc>
        <w:tc>
          <w:tcPr>
            <w:tcW w:w="725" w:type="dxa"/>
            <w:tcBorders>
              <w:top w:val="single" w:color="auto" w:sz="4" w:space="0"/>
              <w:left w:val="single" w:color="auto" w:sz="4" w:space="0"/>
              <w:bottom w:val="single" w:color="auto" w:sz="4" w:space="0"/>
              <w:right w:val="single" w:color="auto" w:sz="4" w:space="0"/>
            </w:tcBorders>
            <w:vAlign w:val="center"/>
          </w:tcPr>
          <w:p w14:paraId="689615B4">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4.60</w:t>
            </w:r>
          </w:p>
        </w:tc>
        <w:tc>
          <w:tcPr>
            <w:tcW w:w="850" w:type="dxa"/>
            <w:tcBorders>
              <w:top w:val="single" w:color="auto" w:sz="4" w:space="0"/>
              <w:left w:val="single" w:color="auto" w:sz="4" w:space="0"/>
              <w:bottom w:val="single" w:color="auto" w:sz="4" w:space="0"/>
              <w:right w:val="single" w:color="auto" w:sz="4" w:space="0"/>
            </w:tcBorders>
            <w:vAlign w:val="center"/>
          </w:tcPr>
          <w:p w14:paraId="02B04A6E">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7.99</w:t>
            </w:r>
          </w:p>
        </w:tc>
        <w:tc>
          <w:tcPr>
            <w:tcW w:w="1150" w:type="dxa"/>
            <w:tcBorders>
              <w:top w:val="single" w:color="auto" w:sz="4" w:space="0"/>
              <w:left w:val="single" w:color="auto" w:sz="4" w:space="0"/>
              <w:bottom w:val="single" w:color="auto" w:sz="4" w:space="0"/>
              <w:right w:val="single" w:color="auto" w:sz="4" w:space="0"/>
            </w:tcBorders>
            <w:vAlign w:val="center"/>
          </w:tcPr>
          <w:p w14:paraId="50BF01F0">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8.10</w:t>
            </w:r>
          </w:p>
        </w:tc>
        <w:tc>
          <w:tcPr>
            <w:tcW w:w="1125" w:type="dxa"/>
            <w:tcBorders>
              <w:top w:val="single" w:color="auto" w:sz="4" w:space="0"/>
              <w:left w:val="single" w:color="auto" w:sz="4" w:space="0"/>
              <w:bottom w:val="single" w:color="auto" w:sz="4" w:space="0"/>
              <w:right w:val="single" w:color="auto" w:sz="4" w:space="0"/>
            </w:tcBorders>
            <w:vAlign w:val="center"/>
          </w:tcPr>
          <w:p w14:paraId="6B3C8C67">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4.60</w:t>
            </w:r>
          </w:p>
        </w:tc>
        <w:tc>
          <w:tcPr>
            <w:tcW w:w="1213" w:type="dxa"/>
            <w:tcBorders>
              <w:top w:val="single" w:color="auto" w:sz="4" w:space="0"/>
              <w:left w:val="single" w:color="auto" w:sz="4" w:space="0"/>
              <w:bottom w:val="single" w:color="auto" w:sz="4" w:space="0"/>
              <w:right w:val="single" w:color="auto" w:sz="4" w:space="0"/>
            </w:tcBorders>
            <w:vAlign w:val="center"/>
          </w:tcPr>
          <w:p w14:paraId="6FE5703C">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3.20</w:t>
            </w:r>
          </w:p>
        </w:tc>
        <w:tc>
          <w:tcPr>
            <w:tcW w:w="1150" w:type="dxa"/>
            <w:tcBorders>
              <w:top w:val="single" w:color="auto" w:sz="4" w:space="0"/>
              <w:left w:val="single" w:color="auto" w:sz="4" w:space="0"/>
              <w:bottom w:val="single" w:color="auto" w:sz="4" w:space="0"/>
              <w:right w:val="single" w:color="auto" w:sz="4" w:space="0"/>
            </w:tcBorders>
            <w:vAlign w:val="center"/>
          </w:tcPr>
          <w:p w14:paraId="376DB1A5">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3.98</w:t>
            </w:r>
          </w:p>
        </w:tc>
      </w:tr>
    </w:tbl>
    <w:p w14:paraId="25E6A9AB">
      <w:pPr>
        <w:adjustRightInd w:val="0"/>
        <w:snapToGrid w:val="0"/>
        <w:spacing w:line="360" w:lineRule="auto"/>
        <w:ind w:firstLine="420" w:firstLineChars="200"/>
        <w:rPr>
          <w:rFonts w:hint="eastAsia" w:ascii="宋体" w:hAnsi="宋体" w:cs="宋体"/>
          <w:color w:val="auto"/>
          <w:szCs w:val="21"/>
          <w:highlight w:val="none"/>
        </w:rPr>
      </w:pPr>
    </w:p>
    <w:p w14:paraId="32109C54">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 xml:space="preserve">2.编制依据 </w:t>
      </w:r>
    </w:p>
    <w:p w14:paraId="20C87B7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2.1本项目采用工程量清单计价。</w:t>
      </w:r>
    </w:p>
    <w:p w14:paraId="49ECF14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除招标文件另有约定外，本项目计税采用增值税一般计税方法。</w:t>
      </w:r>
    </w:p>
    <w:p w14:paraId="6AC5D0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 建设工程造价由分部分项工程费、措施项目费、不可竞争费、其他项目费和税金构成。</w:t>
      </w:r>
    </w:p>
    <w:p w14:paraId="5E35512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p>
    <w:p w14:paraId="618BDA2A">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w:t>
      </w:r>
      <w:bookmarkStart w:id="1020" w:name="_Toc95223518"/>
      <w:bookmarkStart w:id="1021" w:name="_Toc19788"/>
      <w:bookmarkStart w:id="1022" w:name="_Toc4881"/>
      <w:bookmarkStart w:id="1023" w:name="_Toc95223521"/>
      <w:r>
        <w:rPr>
          <w:rFonts w:hint="eastAsia" w:ascii="宋体" w:hAnsi="宋体" w:cs="宋体"/>
          <w:b/>
          <w:bCs/>
          <w:color w:val="auto"/>
          <w:szCs w:val="21"/>
          <w:highlight w:val="none"/>
        </w:rPr>
        <w:t>招标工程量清单编制要求</w:t>
      </w:r>
      <w:bookmarkEnd w:id="1020"/>
      <w:bookmarkEnd w:id="1021"/>
    </w:p>
    <w:p w14:paraId="471A7BA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招标工程量清单编制依据如下：</w:t>
      </w:r>
    </w:p>
    <w:p w14:paraId="01EE407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（1）2018版安徽省建设工程工程量清单计价办法；</w:t>
      </w:r>
    </w:p>
    <w:p w14:paraId="0E2E86D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（2）《关于调整安徽省建设工程不可竞争费构成及计费标准的通知》（建标〔2021〕42号）； </w:t>
      </w:r>
    </w:p>
    <w:p w14:paraId="464AA13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（3）建设工程设计文件及相关资料；</w:t>
      </w:r>
    </w:p>
    <w:p w14:paraId="3786A28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（4）与建设项目有关的标准、规范、技术资料；</w:t>
      </w:r>
    </w:p>
    <w:p w14:paraId="28C6D70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（5）拟定的招标文件及其补充通知答疑纪要； </w:t>
      </w:r>
    </w:p>
    <w:p w14:paraId="1E436FC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（6）施工现场情况、地勘水文资料、工程特点及常规施工方案；</w:t>
      </w:r>
    </w:p>
    <w:p w14:paraId="729EA14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（7）招标人对项目其他相关要求文件。</w:t>
      </w:r>
    </w:p>
    <w:p w14:paraId="707165B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招标工程量清单作为招标文件的组成部分，是编制最高投标限价、投标报价、计算工程量、调整合同价款、办理工程竣工结算以及工程索赔等的依据。</w:t>
      </w:r>
    </w:p>
    <w:p w14:paraId="7B4A06A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投标人在投标报价过程中有责任和义务对招标人提供的工程量清单进行分析和核对,发现问题应按招标文件要求以书面形式告知招标人。</w:t>
      </w:r>
    </w:p>
    <w:p w14:paraId="76FFA57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 工程量清单由分部分项工程量清单、措施项目清单、不可竞争项目清单、其他项目清单、税金项目清单组成。采用统一格式和表格，具体构成内容见“工程量清单”。</w:t>
      </w:r>
    </w:p>
    <w:p w14:paraId="0D37F66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 分部分项工程量清单项目特征是结合本工程项目的实际情况予以描述的，对清单项目的技术和质量有要求的，见招标文件技术部分。措施项目清单中通用部分遵循计价规范编制，专业工程措施项目按规定和工程实际情况确定。</w:t>
      </w:r>
    </w:p>
    <w:p w14:paraId="03D3D93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 招标工程量清单编制范围应与招标文件中明确的工程招标范围一致。工程量清单的组成内容应当完整、项目特征描述应准确全面，与施工图纸保持一致。</w:t>
      </w:r>
    </w:p>
    <w:p w14:paraId="7DD8A2E3">
      <w:pPr>
        <w:adjustRightInd w:val="0"/>
        <w:snapToGrid w:val="0"/>
        <w:spacing w:line="360" w:lineRule="auto"/>
        <w:ind w:firstLine="422" w:firstLineChars="200"/>
        <w:rPr>
          <w:rFonts w:hint="eastAsia" w:ascii="宋体" w:hAnsi="宋体" w:cs="宋体"/>
          <w:b/>
          <w:bCs/>
          <w:color w:val="auto"/>
          <w:szCs w:val="21"/>
          <w:highlight w:val="none"/>
        </w:rPr>
      </w:pPr>
      <w:bookmarkStart w:id="1024" w:name="_Toc23910"/>
      <w:bookmarkStart w:id="1025" w:name="_Toc95223519"/>
      <w:r>
        <w:rPr>
          <w:rFonts w:hint="eastAsia" w:ascii="宋体" w:hAnsi="宋体" w:cs="宋体"/>
          <w:b/>
          <w:bCs/>
          <w:color w:val="auto"/>
          <w:szCs w:val="21"/>
          <w:highlight w:val="none"/>
        </w:rPr>
        <w:t>4. 最高投标限价编制要求</w:t>
      </w:r>
      <w:bookmarkEnd w:id="1024"/>
      <w:bookmarkEnd w:id="1025"/>
    </w:p>
    <w:p w14:paraId="6C64063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 最高投标限价编制依据如下：</w:t>
      </w:r>
    </w:p>
    <w:p w14:paraId="20079F0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66B55E3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62AEEA5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6423AA9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43C79E38">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《关于发布《安徽省建设工程计价依据动态调整(第1期)》的公告》（安徽省住房和城乡建设厅公告第51号）</w:t>
      </w:r>
    </w:p>
    <w:p w14:paraId="3BE6B69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3667D38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0CD46F7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4F32813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65E85DC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p>
    <w:p w14:paraId="2513C58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（11）施工期间的风险因素；</w:t>
      </w:r>
    </w:p>
    <w:p w14:paraId="73564F8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（12）省、市的有关政策性文件；</w:t>
      </w:r>
    </w:p>
    <w:p w14:paraId="0EF0A90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（13）其他相关材料。</w:t>
      </w:r>
    </w:p>
    <w:p w14:paraId="7E84DE5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 材料价格：按《滁州工程造价信息》发布的不含税价格和市场询价编制。本工程混凝土、砂浆使用  商品混凝土、预拌砂浆。</w:t>
      </w:r>
    </w:p>
    <w:p w14:paraId="3D70089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4.3暂列金额与暂估价</w:t>
      </w:r>
    </w:p>
    <w:p w14:paraId="3EDA353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本工程暂列金额与暂估价详见招标人发布的最高投标限价。</w:t>
      </w:r>
    </w:p>
    <w:p w14:paraId="1791D79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 最高投标限价为本次招标工程限定的最高投标限价，应当在工程所在地建设主管部门备案。最高投标限价不做上调或下浮。如最高投标限价超过批准的概算，招标人应将其报原概算审批部门审核。</w:t>
      </w:r>
    </w:p>
    <w:p w14:paraId="2A6C19D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 最高投标限价应采用工程单价计价，正确、全面地使用国家、省市标准、计价定额以及相关文件，成果文件质量应符合相关标准及规程的规定。最高投标限价包括分部分项工程费、措施项目费、不可竞争费、其他项目费和税金。</w:t>
      </w:r>
    </w:p>
    <w:p w14:paraId="26EFAC3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 分部分项工程费按本招标文件的分部分项工程量清单的特征描述及有关要求，结合第4.1款编制依据确定。</w:t>
      </w:r>
    </w:p>
    <w:p w14:paraId="2239E18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（1）综合单价中人工和施工机械台班单价按省级和工程所在地的市级工程造价管理机构公布的单价计算；</w:t>
      </w:r>
    </w:p>
    <w:p w14:paraId="2B81C11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（2）综合单价中材料、工程设备单价按省级和工程所在地的市级工程造价管理机构公布的单价以及本招标文件规定的暂估价、市场调查价格计算；</w:t>
      </w:r>
    </w:p>
    <w:p w14:paraId="2D670C3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（3）本招标文件中列有材料、设备暂估价的，按暂估价计算；</w:t>
      </w:r>
    </w:p>
    <w:p w14:paraId="4BAF4B0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（4）综合单价中人工、材料和施工机械台班消耗量均按2018版安徽省定额消耗量计算；</w:t>
      </w:r>
    </w:p>
    <w:p w14:paraId="07F5057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（5）综合单价中综合费费率按2018版安徽省建设工程计价依据；</w:t>
      </w:r>
    </w:p>
    <w:p w14:paraId="0E0FD36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（6）综合单价中应包括招标文件约定的应由投标人承担的风险范围及其费用，风险按本招标文件第4.1款约定计算。</w:t>
      </w:r>
    </w:p>
    <w:p w14:paraId="49EA944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4.7 措施项目费按本招标文件中的措施项目清单，根据拟定的招标文件和常规施工方案确定。对于施工机械设备的选型根据工程特点和施工条件，本着经济实用、先进高效的原则确定。措施项目费依据项目具体情况进行合理确定，复杂项目需按专家论证后的方案编制。</w:t>
      </w:r>
    </w:p>
    <w:p w14:paraId="48051EF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 不可竞争费（含安全文明施工费、</w:t>
      </w:r>
      <w:r>
        <w:rPr>
          <w:rFonts w:hint="eastAsia"/>
          <w:color w:val="auto"/>
          <w:highlight w:val="none"/>
        </w:rPr>
        <w:t>环境保护税</w:t>
      </w:r>
      <w:r>
        <w:rPr>
          <w:rFonts w:hint="eastAsia" w:ascii="宋体" w:hAnsi="宋体" w:cs="宋体"/>
          <w:color w:val="auto"/>
          <w:szCs w:val="21"/>
          <w:highlight w:val="none"/>
        </w:rPr>
        <w:t>）按本招标文件中的不可竞争项目清单编制确定。</w:t>
      </w:r>
    </w:p>
    <w:p w14:paraId="5A14C48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4.9 其他项目费用应按照下列规定计价:</w:t>
      </w:r>
    </w:p>
    <w:p w14:paraId="5E96C2F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w:t>
      </w:r>
    </w:p>
    <w:p w14:paraId="6B2BDF8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w:t>
      </w:r>
    </w:p>
    <w:p w14:paraId="1F64EF5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（3）计日工按招标人列出项目和数量，结合第4.1款编制依据的要求确定综合单价并计算费用； </w:t>
      </w:r>
    </w:p>
    <w:p w14:paraId="08E136D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3DF488E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4.10 税金（增值税）按税金项目清单，结合第4.1款编制依据的要求编制，不得降低标准。</w:t>
      </w:r>
    </w:p>
    <w:p w14:paraId="6F89D82F">
      <w:pPr>
        <w:adjustRightInd w:val="0"/>
        <w:snapToGrid w:val="0"/>
        <w:spacing w:line="360" w:lineRule="auto"/>
        <w:ind w:firstLine="422" w:firstLineChars="200"/>
        <w:rPr>
          <w:rFonts w:hint="eastAsia" w:ascii="宋体" w:hAnsi="宋体" w:cs="宋体"/>
          <w:b/>
          <w:bCs/>
          <w:color w:val="auto"/>
          <w:szCs w:val="21"/>
          <w:highlight w:val="none"/>
        </w:rPr>
      </w:pPr>
      <w:bookmarkStart w:id="1026" w:name="_Toc95223520"/>
      <w:bookmarkStart w:id="1027" w:name="_Toc4166"/>
      <w:r>
        <w:rPr>
          <w:rFonts w:hint="eastAsia" w:ascii="宋体" w:hAnsi="宋体" w:cs="宋体"/>
          <w:b/>
          <w:bCs/>
          <w:color w:val="auto"/>
          <w:szCs w:val="21"/>
          <w:highlight w:val="none"/>
        </w:rPr>
        <w:t>5. 投标报价参考编制要求</w:t>
      </w:r>
      <w:bookmarkEnd w:id="1026"/>
      <w:bookmarkEnd w:id="1027"/>
    </w:p>
    <w:p w14:paraId="4D2323A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投标报价编制参考依据如下：</w:t>
      </w:r>
    </w:p>
    <w:p w14:paraId="736EE84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0B52FDB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0C70879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5E152D1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34B2DC2D">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《关于发布《安徽省建设工程计价依据动态调整(第1期)》的公告》（安徽省住房和城乡建设厅公告第51号）</w:t>
      </w:r>
    </w:p>
    <w:p w14:paraId="7A286A1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2B4CA55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5EC9D37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298BAE3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582B8D0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p>
    <w:p w14:paraId="1BDDC7C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（11）施工期间的风险因素；</w:t>
      </w:r>
    </w:p>
    <w:p w14:paraId="4B644E1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（12）其他相关材料。</w:t>
      </w:r>
    </w:p>
    <w:p w14:paraId="78365D1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投标人应仔细阅读招标文件，了解拟投标合同段的全部工程内容。投标人的投标报价应是招标文件所确定的招标范围内全部工程内容的价格体现，但其投标报价不得低于投标人个别成本价。</w:t>
      </w:r>
    </w:p>
    <w:p w14:paraId="15B9951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投标人应按招标人提供的招标工程量清单填报综合单价和合价，未填报的综合单价和合价，视为此项费用已合在工程量清单的其他综合单价和合价中。</w:t>
      </w:r>
    </w:p>
    <w:p w14:paraId="1ECF320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的风险费用。</w:t>
      </w:r>
    </w:p>
    <w:p w14:paraId="5FD0863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 措施项目费根据招标文件中的工程量清单措施项目，结合第5.1款编制依据确定。投标人对招标人所列的措施项目可根据工程实际情况结合施工组织设计进行增补。</w:t>
      </w:r>
    </w:p>
    <w:p w14:paraId="7CA64B2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 不可竞争费（含安全文明施工费、</w:t>
      </w:r>
      <w:r>
        <w:rPr>
          <w:rFonts w:hint="eastAsia"/>
          <w:color w:val="auto"/>
          <w:highlight w:val="none"/>
        </w:rPr>
        <w:t>环境保护税</w:t>
      </w:r>
      <w:r>
        <w:rPr>
          <w:rFonts w:hint="eastAsia" w:ascii="宋体" w:hAnsi="宋体" w:cs="宋体"/>
          <w:color w:val="auto"/>
          <w:szCs w:val="21"/>
          <w:highlight w:val="none"/>
        </w:rPr>
        <w:t>）根据工程量清单不可竞争项目，结合第5.1款编制依据确定，安全文明施工费费率不得调整。</w:t>
      </w:r>
    </w:p>
    <w:p w14:paraId="00D9F6C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5.7 其他项目费用应按照下列规定计价:</w:t>
      </w:r>
    </w:p>
    <w:p w14:paraId="7B3F98C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（1）暂列金额按招标工程量清单中列出的金额填写，不得更改；</w:t>
      </w:r>
    </w:p>
    <w:p w14:paraId="3BB36A6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（2）专业工程暂估价按招标工程量清单中列出的金额填写，不得更改；</w:t>
      </w:r>
    </w:p>
    <w:p w14:paraId="0CB8467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（3）计日工按招标人列出项目和数量，结合第5.1款编制依据的要求确定综合单价并计算费用； </w:t>
      </w:r>
    </w:p>
    <w:p w14:paraId="2D1AF67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4E6E9C5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 税金（增值税）按税金项目清单，结合第5.1款编制依据的要求编制，不得调整。</w:t>
      </w:r>
    </w:p>
    <w:p w14:paraId="2ECB212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 投标报价编制注意事项</w:t>
      </w:r>
    </w:p>
    <w:p w14:paraId="471AB8B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可调整价格的主要材料和甲供材及实行暂估价的材料及设备以外，其他由投标人自行采购的材料确定投标报价时应充分考虑材料价格上涨等市场风险因素，中标后不作调整，综合单价中的材料费应包含材料运杂费、采保费等一切应有费用；</w:t>
      </w:r>
    </w:p>
    <w:p w14:paraId="6BF97E2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（2）结算时实行暂估价的材料和设备的价差仅计取税金，不再计取其他费用；</w:t>
      </w:r>
    </w:p>
    <w:p w14:paraId="1ADF028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14:paraId="62F5592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w:t>
      </w:r>
    </w:p>
    <w:p w14:paraId="16795642">
      <w:pPr>
        <w:adjustRightInd w:val="0"/>
        <w:snapToGrid w:val="0"/>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（5）招标人对异议或修正要求应进行核实，确认工程量单项子目误差在±3%（含±3%）以内的，招标人可不予调整工程量，投标人应将其误差考虑在综合单价内；若有遗漏项目或单项子目工</w:t>
      </w:r>
      <w:r>
        <w:rPr>
          <w:rFonts w:hint="eastAsia" w:ascii="宋体" w:hAnsi="宋体" w:cs="宋体"/>
          <w:b/>
          <w:bCs/>
          <w:color w:val="auto"/>
          <w:szCs w:val="21"/>
          <w:highlight w:val="none"/>
        </w:rPr>
        <w:t>程量误差超过±3%的，招标人应进行修正并重新公布准确的工程量清单；</w:t>
      </w:r>
    </w:p>
    <w:p w14:paraId="2CAF24DE">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（6） 除合同另有约定外，中标人在工程量清单报价书中所报的综合单价在施工图纸和合同约定范围一律不予调整；</w:t>
      </w:r>
    </w:p>
    <w:p w14:paraId="20818AB3">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（7）本招标工程不接受恶意不平衡报价，不保证最低价中标。</w:t>
      </w:r>
    </w:p>
    <w:p w14:paraId="331E5535">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6. 工程量清单</w:t>
      </w:r>
      <w:bookmarkEnd w:id="1022"/>
      <w:bookmarkEnd w:id="1023"/>
    </w:p>
    <w:p w14:paraId="27B8D77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另附。</w:t>
      </w:r>
    </w:p>
    <w:p w14:paraId="0ED82A22">
      <w:pPr>
        <w:pStyle w:val="44"/>
        <w:spacing w:before="156" w:beforeLines="50" w:after="156" w:afterLines="50" w:line="440" w:lineRule="exact"/>
        <w:rPr>
          <w:bCs/>
          <w:color w:val="auto"/>
          <w:szCs w:val="32"/>
          <w:highlight w:val="none"/>
        </w:rPr>
      </w:pPr>
    </w:p>
    <w:p w14:paraId="64910526">
      <w:pPr>
        <w:pStyle w:val="44"/>
        <w:numPr>
          <w:ilvl w:val="0"/>
          <w:numId w:val="8"/>
        </w:numPr>
        <w:spacing w:before="156" w:beforeLines="50" w:after="156" w:afterLines="50" w:line="440" w:lineRule="exact"/>
        <w:rPr>
          <w:bCs/>
          <w:color w:val="auto"/>
          <w:szCs w:val="32"/>
          <w:highlight w:val="none"/>
        </w:rPr>
      </w:pPr>
      <w:bookmarkStart w:id="1028" w:name="_Toc20597"/>
      <w:bookmarkStart w:id="1029" w:name="_Toc25013"/>
      <w:r>
        <w:rPr>
          <w:rFonts w:hint="eastAsia"/>
          <w:bCs/>
          <w:color w:val="auto"/>
          <w:szCs w:val="32"/>
          <w:highlight w:val="none"/>
        </w:rPr>
        <w:t>图纸</w:t>
      </w:r>
      <w:bookmarkEnd w:id="1028"/>
      <w:bookmarkEnd w:id="1029"/>
    </w:p>
    <w:p w14:paraId="329FB3EF">
      <w:pPr>
        <w:pStyle w:val="44"/>
        <w:spacing w:before="156" w:beforeLines="50" w:after="156" w:afterLines="50" w:line="440" w:lineRule="exact"/>
        <w:rPr>
          <w:bCs/>
          <w:color w:val="auto"/>
          <w:szCs w:val="32"/>
          <w:highlight w:val="none"/>
        </w:rPr>
      </w:pPr>
      <w:bookmarkStart w:id="1030" w:name="_Toc18733"/>
      <w:bookmarkStart w:id="1031" w:name="_Toc23816"/>
      <w:r>
        <w:rPr>
          <w:rFonts w:hint="eastAsia"/>
          <w:bCs/>
          <w:color w:val="auto"/>
          <w:szCs w:val="32"/>
          <w:highlight w:val="none"/>
        </w:rPr>
        <w:t>另附</w:t>
      </w:r>
      <w:bookmarkEnd w:id="1030"/>
      <w:bookmarkEnd w:id="1031"/>
    </w:p>
    <w:p w14:paraId="6EA6FFDF">
      <w:pPr>
        <w:pStyle w:val="44"/>
        <w:spacing w:before="156" w:beforeLines="50" w:after="156" w:afterLines="50" w:line="440" w:lineRule="exact"/>
        <w:rPr>
          <w:bCs/>
          <w:color w:val="auto"/>
          <w:szCs w:val="32"/>
          <w:highlight w:val="none"/>
        </w:rPr>
      </w:pPr>
    </w:p>
    <w:p w14:paraId="51F90239">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品牌推荐表</w:t>
      </w:r>
    </w:p>
    <w:tbl>
      <w:tblPr>
        <w:tblStyle w:val="47"/>
        <w:tblW w:w="932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3117"/>
        <w:gridCol w:w="5550"/>
      </w:tblGrid>
      <w:tr w14:paraId="70BD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329" w:type="dxa"/>
            <w:gridSpan w:val="3"/>
            <w:noWrap/>
            <w:vAlign w:val="center"/>
          </w:tcPr>
          <w:p w14:paraId="68F00A73">
            <w:pPr>
              <w:widowControl/>
              <w:spacing w:line="440" w:lineRule="exact"/>
              <w:jc w:val="center"/>
              <w:textAlignment w:val="center"/>
              <w:rPr>
                <w:rFonts w:hint="eastAsia" w:ascii="宋体" w:hAnsi="宋体" w:cs="宋体"/>
                <w:b/>
                <w:bCs/>
                <w:color w:val="auto"/>
                <w:sz w:val="32"/>
                <w:szCs w:val="32"/>
                <w:highlight w:val="none"/>
              </w:rPr>
            </w:pPr>
            <w:r>
              <w:rPr>
                <w:rFonts w:hint="eastAsia" w:ascii="宋体" w:hAnsi="宋体" w:cs="宋体"/>
                <w:b/>
                <w:bCs/>
                <w:color w:val="auto"/>
                <w:kern w:val="0"/>
                <w:sz w:val="32"/>
                <w:szCs w:val="32"/>
                <w:highlight w:val="none"/>
                <w:lang w:bidi="ar"/>
              </w:rPr>
              <w:t>品牌推荐表</w:t>
            </w:r>
          </w:p>
        </w:tc>
      </w:tr>
      <w:tr w14:paraId="4F79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2" w:type="dxa"/>
            <w:noWrap/>
            <w:vAlign w:val="center"/>
          </w:tcPr>
          <w:p w14:paraId="6B98454D">
            <w:pPr>
              <w:widowControl/>
              <w:spacing w:line="440" w:lineRule="exact"/>
              <w:jc w:val="center"/>
              <w:textAlignment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编号</w:t>
            </w:r>
          </w:p>
        </w:tc>
        <w:tc>
          <w:tcPr>
            <w:tcW w:w="3117" w:type="dxa"/>
            <w:vAlign w:val="center"/>
          </w:tcPr>
          <w:p w14:paraId="748F7B4B">
            <w:pPr>
              <w:widowControl/>
              <w:spacing w:line="440" w:lineRule="exact"/>
              <w:jc w:val="center"/>
              <w:textAlignment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名称</w:t>
            </w:r>
          </w:p>
        </w:tc>
        <w:tc>
          <w:tcPr>
            <w:tcW w:w="5550" w:type="dxa"/>
            <w:noWrap/>
            <w:vAlign w:val="center"/>
          </w:tcPr>
          <w:p w14:paraId="070F0322">
            <w:pPr>
              <w:widowControl/>
              <w:spacing w:line="440" w:lineRule="exact"/>
              <w:rPr>
                <w:rFonts w:hint="eastAsia" w:ascii="宋体" w:hAnsi="宋体" w:cs="宋体"/>
                <w:color w:val="auto"/>
                <w:sz w:val="22"/>
                <w:szCs w:val="22"/>
                <w:highlight w:val="none"/>
              </w:rPr>
            </w:pPr>
          </w:p>
        </w:tc>
      </w:tr>
      <w:tr w14:paraId="6C7B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ign w:val="center"/>
          </w:tcPr>
          <w:p w14:paraId="7C92098C">
            <w:pPr>
              <w:widowControl/>
              <w:spacing w:line="440" w:lineRule="exact"/>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3117" w:type="dxa"/>
            <w:shd w:val="clear" w:color="auto" w:fill="auto"/>
            <w:vAlign w:val="center"/>
          </w:tcPr>
          <w:p w14:paraId="1A336F31">
            <w:pPr>
              <w:widowControl/>
              <w:spacing w:line="440" w:lineRule="exact"/>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电缆</w:t>
            </w:r>
          </w:p>
        </w:tc>
        <w:tc>
          <w:tcPr>
            <w:tcW w:w="5550" w:type="dxa"/>
            <w:shd w:val="clear" w:color="auto" w:fill="auto"/>
            <w:noWrap/>
            <w:vAlign w:val="center"/>
          </w:tcPr>
          <w:p w14:paraId="5DAE3583">
            <w:pPr>
              <w:widowControl/>
              <w:spacing w:line="440" w:lineRule="exact"/>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江南、上上、远东、绿宝</w:t>
            </w:r>
          </w:p>
        </w:tc>
      </w:tr>
      <w:tr w14:paraId="5B30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ign w:val="center"/>
          </w:tcPr>
          <w:p w14:paraId="37AD7ECF">
            <w:pPr>
              <w:widowControl/>
              <w:spacing w:line="440" w:lineRule="exact"/>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w:t>
            </w:r>
          </w:p>
        </w:tc>
        <w:tc>
          <w:tcPr>
            <w:tcW w:w="3117" w:type="dxa"/>
            <w:vAlign w:val="center"/>
          </w:tcPr>
          <w:p w14:paraId="573CA969">
            <w:pPr>
              <w:widowControl/>
              <w:spacing w:line="440" w:lineRule="exact"/>
              <w:jc w:val="left"/>
              <w:textAlignment w:val="center"/>
              <w:rPr>
                <w:rFonts w:hint="eastAsia" w:ascii="宋体" w:hAnsi="宋体" w:cs="宋体"/>
                <w:color w:val="auto"/>
                <w:sz w:val="22"/>
                <w:szCs w:val="22"/>
                <w:highlight w:val="none"/>
              </w:rPr>
            </w:pPr>
          </w:p>
        </w:tc>
        <w:tc>
          <w:tcPr>
            <w:tcW w:w="5550" w:type="dxa"/>
            <w:noWrap/>
            <w:vAlign w:val="center"/>
          </w:tcPr>
          <w:p w14:paraId="6942F7B1">
            <w:pPr>
              <w:widowControl/>
              <w:spacing w:line="440" w:lineRule="exact"/>
              <w:jc w:val="left"/>
              <w:textAlignment w:val="center"/>
              <w:rPr>
                <w:rFonts w:hint="eastAsia" w:ascii="宋体" w:hAnsi="宋体" w:cs="宋体"/>
                <w:color w:val="auto"/>
                <w:sz w:val="22"/>
                <w:szCs w:val="22"/>
                <w:highlight w:val="none"/>
              </w:rPr>
            </w:pPr>
          </w:p>
        </w:tc>
      </w:tr>
      <w:tr w14:paraId="4008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ign w:val="center"/>
          </w:tcPr>
          <w:p w14:paraId="59E38052">
            <w:pPr>
              <w:widowControl/>
              <w:spacing w:line="440" w:lineRule="exact"/>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3117" w:type="dxa"/>
            <w:vAlign w:val="center"/>
          </w:tcPr>
          <w:p w14:paraId="66802EB1">
            <w:pPr>
              <w:widowControl/>
              <w:spacing w:line="440" w:lineRule="exact"/>
              <w:jc w:val="left"/>
              <w:textAlignment w:val="center"/>
              <w:rPr>
                <w:rFonts w:hint="eastAsia" w:ascii="宋体" w:hAnsi="宋体" w:cs="宋体"/>
                <w:color w:val="auto"/>
                <w:sz w:val="22"/>
                <w:szCs w:val="22"/>
                <w:highlight w:val="none"/>
              </w:rPr>
            </w:pPr>
          </w:p>
        </w:tc>
        <w:tc>
          <w:tcPr>
            <w:tcW w:w="5550" w:type="dxa"/>
            <w:noWrap/>
            <w:vAlign w:val="center"/>
          </w:tcPr>
          <w:p w14:paraId="65D0AF91">
            <w:pPr>
              <w:widowControl/>
              <w:spacing w:line="440" w:lineRule="exact"/>
              <w:jc w:val="left"/>
              <w:textAlignment w:val="center"/>
              <w:rPr>
                <w:rFonts w:hint="eastAsia" w:ascii="宋体" w:hAnsi="宋体" w:cs="宋体"/>
                <w:color w:val="auto"/>
                <w:sz w:val="22"/>
                <w:szCs w:val="22"/>
                <w:highlight w:val="none"/>
              </w:rPr>
            </w:pPr>
          </w:p>
        </w:tc>
      </w:tr>
      <w:tr w14:paraId="7239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ign w:val="center"/>
          </w:tcPr>
          <w:p w14:paraId="7AA2552E">
            <w:pPr>
              <w:widowControl/>
              <w:spacing w:line="440" w:lineRule="exact"/>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3117" w:type="dxa"/>
            <w:vAlign w:val="center"/>
          </w:tcPr>
          <w:p w14:paraId="5188EC9B">
            <w:pPr>
              <w:widowControl/>
              <w:spacing w:line="440" w:lineRule="exact"/>
              <w:jc w:val="left"/>
              <w:textAlignment w:val="center"/>
              <w:rPr>
                <w:rFonts w:hint="eastAsia" w:ascii="宋体" w:hAnsi="宋体" w:cs="宋体"/>
                <w:color w:val="auto"/>
                <w:sz w:val="22"/>
                <w:szCs w:val="22"/>
                <w:highlight w:val="none"/>
              </w:rPr>
            </w:pPr>
          </w:p>
        </w:tc>
        <w:tc>
          <w:tcPr>
            <w:tcW w:w="5550" w:type="dxa"/>
            <w:noWrap/>
            <w:vAlign w:val="center"/>
          </w:tcPr>
          <w:p w14:paraId="1394A0A0">
            <w:pPr>
              <w:widowControl/>
              <w:spacing w:line="440" w:lineRule="exact"/>
              <w:jc w:val="left"/>
              <w:textAlignment w:val="center"/>
              <w:rPr>
                <w:rFonts w:hint="eastAsia" w:ascii="宋体" w:hAnsi="宋体" w:cs="宋体"/>
                <w:color w:val="auto"/>
                <w:sz w:val="22"/>
                <w:szCs w:val="22"/>
                <w:highlight w:val="none"/>
              </w:rPr>
            </w:pPr>
          </w:p>
        </w:tc>
      </w:tr>
      <w:tr w14:paraId="4DDC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ign w:val="center"/>
          </w:tcPr>
          <w:p w14:paraId="26F30DC4">
            <w:pPr>
              <w:widowControl/>
              <w:spacing w:line="440" w:lineRule="exact"/>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3117" w:type="dxa"/>
            <w:vAlign w:val="center"/>
          </w:tcPr>
          <w:p w14:paraId="5633E2B8">
            <w:pPr>
              <w:widowControl/>
              <w:spacing w:line="440" w:lineRule="exact"/>
              <w:jc w:val="left"/>
              <w:textAlignment w:val="center"/>
              <w:rPr>
                <w:rFonts w:hint="eastAsia" w:ascii="宋体" w:hAnsi="宋体" w:cs="宋体"/>
                <w:color w:val="auto"/>
                <w:sz w:val="22"/>
                <w:szCs w:val="22"/>
                <w:highlight w:val="none"/>
              </w:rPr>
            </w:pPr>
          </w:p>
        </w:tc>
        <w:tc>
          <w:tcPr>
            <w:tcW w:w="5550" w:type="dxa"/>
            <w:noWrap/>
            <w:vAlign w:val="center"/>
          </w:tcPr>
          <w:p w14:paraId="6ABD6B61">
            <w:pPr>
              <w:widowControl/>
              <w:spacing w:line="440" w:lineRule="exact"/>
              <w:jc w:val="left"/>
              <w:textAlignment w:val="center"/>
              <w:rPr>
                <w:rFonts w:hint="eastAsia" w:ascii="宋体" w:hAnsi="宋体" w:cs="宋体"/>
                <w:color w:val="auto"/>
                <w:sz w:val="22"/>
                <w:szCs w:val="22"/>
                <w:highlight w:val="none"/>
              </w:rPr>
            </w:pPr>
          </w:p>
        </w:tc>
      </w:tr>
      <w:tr w14:paraId="10BF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ign w:val="center"/>
          </w:tcPr>
          <w:p w14:paraId="59DFA523">
            <w:pPr>
              <w:widowControl/>
              <w:spacing w:line="440" w:lineRule="exact"/>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3117" w:type="dxa"/>
            <w:vAlign w:val="center"/>
          </w:tcPr>
          <w:p w14:paraId="417082AF">
            <w:pPr>
              <w:widowControl/>
              <w:spacing w:line="440" w:lineRule="exact"/>
              <w:jc w:val="left"/>
              <w:textAlignment w:val="center"/>
              <w:rPr>
                <w:rFonts w:hint="eastAsia" w:ascii="宋体" w:hAnsi="宋体" w:cs="宋体"/>
                <w:color w:val="auto"/>
                <w:sz w:val="22"/>
                <w:szCs w:val="22"/>
                <w:highlight w:val="none"/>
              </w:rPr>
            </w:pPr>
          </w:p>
        </w:tc>
        <w:tc>
          <w:tcPr>
            <w:tcW w:w="5550" w:type="dxa"/>
            <w:noWrap/>
            <w:vAlign w:val="center"/>
          </w:tcPr>
          <w:p w14:paraId="3A561CC3">
            <w:pPr>
              <w:widowControl/>
              <w:spacing w:line="440" w:lineRule="exact"/>
              <w:jc w:val="left"/>
              <w:textAlignment w:val="center"/>
              <w:rPr>
                <w:rFonts w:hint="eastAsia" w:ascii="宋体" w:hAnsi="宋体" w:cs="宋体"/>
                <w:color w:val="auto"/>
                <w:sz w:val="22"/>
                <w:szCs w:val="22"/>
                <w:highlight w:val="none"/>
              </w:rPr>
            </w:pPr>
          </w:p>
        </w:tc>
      </w:tr>
      <w:tr w14:paraId="652A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ign w:val="center"/>
          </w:tcPr>
          <w:p w14:paraId="4EF41775">
            <w:pPr>
              <w:widowControl/>
              <w:spacing w:line="440" w:lineRule="exact"/>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7</w:t>
            </w:r>
          </w:p>
        </w:tc>
        <w:tc>
          <w:tcPr>
            <w:tcW w:w="3117" w:type="dxa"/>
            <w:vAlign w:val="center"/>
          </w:tcPr>
          <w:p w14:paraId="4D57905B">
            <w:pPr>
              <w:widowControl/>
              <w:spacing w:line="440" w:lineRule="exact"/>
              <w:jc w:val="left"/>
              <w:textAlignment w:val="center"/>
              <w:rPr>
                <w:rFonts w:hint="eastAsia" w:ascii="宋体" w:hAnsi="宋体" w:cs="宋体"/>
                <w:color w:val="auto"/>
                <w:sz w:val="22"/>
                <w:szCs w:val="22"/>
                <w:highlight w:val="none"/>
              </w:rPr>
            </w:pPr>
          </w:p>
        </w:tc>
        <w:tc>
          <w:tcPr>
            <w:tcW w:w="5550" w:type="dxa"/>
            <w:noWrap/>
            <w:vAlign w:val="center"/>
          </w:tcPr>
          <w:p w14:paraId="0F3F644E">
            <w:pPr>
              <w:widowControl/>
              <w:spacing w:line="440" w:lineRule="exact"/>
              <w:jc w:val="left"/>
              <w:textAlignment w:val="center"/>
              <w:rPr>
                <w:rFonts w:hint="eastAsia" w:ascii="宋体" w:hAnsi="宋体" w:cs="宋体"/>
                <w:color w:val="auto"/>
                <w:sz w:val="22"/>
                <w:szCs w:val="22"/>
                <w:highlight w:val="none"/>
              </w:rPr>
            </w:pPr>
          </w:p>
        </w:tc>
      </w:tr>
      <w:tr w14:paraId="5CA3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ign w:val="center"/>
          </w:tcPr>
          <w:p w14:paraId="5AC7C847">
            <w:pPr>
              <w:widowControl/>
              <w:spacing w:line="440" w:lineRule="exact"/>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8</w:t>
            </w:r>
          </w:p>
        </w:tc>
        <w:tc>
          <w:tcPr>
            <w:tcW w:w="3117" w:type="dxa"/>
            <w:vAlign w:val="center"/>
          </w:tcPr>
          <w:p w14:paraId="1E876ACD">
            <w:pPr>
              <w:widowControl/>
              <w:spacing w:line="440" w:lineRule="exact"/>
              <w:jc w:val="left"/>
              <w:textAlignment w:val="center"/>
              <w:rPr>
                <w:rFonts w:hint="eastAsia" w:ascii="宋体" w:hAnsi="宋体" w:cs="宋体"/>
                <w:color w:val="auto"/>
                <w:sz w:val="22"/>
                <w:szCs w:val="22"/>
                <w:highlight w:val="none"/>
              </w:rPr>
            </w:pPr>
          </w:p>
        </w:tc>
        <w:tc>
          <w:tcPr>
            <w:tcW w:w="5550" w:type="dxa"/>
            <w:noWrap/>
            <w:vAlign w:val="center"/>
          </w:tcPr>
          <w:p w14:paraId="20ADA83C">
            <w:pPr>
              <w:widowControl/>
              <w:spacing w:line="440" w:lineRule="exact"/>
              <w:jc w:val="left"/>
              <w:textAlignment w:val="center"/>
              <w:rPr>
                <w:rFonts w:hint="eastAsia" w:ascii="宋体" w:hAnsi="宋体" w:cs="宋体"/>
                <w:color w:val="auto"/>
                <w:sz w:val="22"/>
                <w:szCs w:val="22"/>
                <w:highlight w:val="none"/>
              </w:rPr>
            </w:pPr>
          </w:p>
        </w:tc>
      </w:tr>
      <w:tr w14:paraId="36D0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ign w:val="center"/>
          </w:tcPr>
          <w:p w14:paraId="6FBF62E3">
            <w:pPr>
              <w:widowControl/>
              <w:spacing w:line="440" w:lineRule="exact"/>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9</w:t>
            </w:r>
          </w:p>
        </w:tc>
        <w:tc>
          <w:tcPr>
            <w:tcW w:w="3117" w:type="dxa"/>
            <w:vAlign w:val="center"/>
          </w:tcPr>
          <w:p w14:paraId="5358B90B">
            <w:pPr>
              <w:widowControl/>
              <w:spacing w:line="440" w:lineRule="exact"/>
              <w:jc w:val="left"/>
              <w:textAlignment w:val="center"/>
              <w:rPr>
                <w:rFonts w:hint="eastAsia" w:ascii="宋体" w:hAnsi="宋体" w:cs="宋体"/>
                <w:color w:val="auto"/>
                <w:sz w:val="22"/>
                <w:szCs w:val="22"/>
                <w:highlight w:val="none"/>
              </w:rPr>
            </w:pPr>
          </w:p>
        </w:tc>
        <w:tc>
          <w:tcPr>
            <w:tcW w:w="5550" w:type="dxa"/>
            <w:noWrap/>
            <w:vAlign w:val="center"/>
          </w:tcPr>
          <w:p w14:paraId="0E8912CF">
            <w:pPr>
              <w:widowControl/>
              <w:spacing w:line="440" w:lineRule="exact"/>
              <w:jc w:val="left"/>
              <w:textAlignment w:val="center"/>
              <w:rPr>
                <w:rFonts w:hint="eastAsia" w:ascii="宋体" w:hAnsi="宋体" w:cs="宋体"/>
                <w:color w:val="auto"/>
                <w:sz w:val="22"/>
                <w:szCs w:val="22"/>
                <w:highlight w:val="none"/>
              </w:rPr>
            </w:pPr>
          </w:p>
        </w:tc>
      </w:tr>
    </w:tbl>
    <w:p w14:paraId="3DA6BEE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于招标人推荐品牌的材料、设备，投标人可选用推荐品牌或不低于推荐品牌技术性能指标的其他品牌；采用其他品牌的应在报价文件《招标人推荐的材料品牌响应表》中注明并提供相关技术性能指标、业绩等供评标委员会评审，未在《招标人推荐的材料品牌响应表》中注明且未提供相关技术性能指标、业绩，或经评标委员会评审未通过的，中标后只能从招标人推荐品牌中进行选择，合同价格不予调整。</w:t>
      </w:r>
    </w:p>
    <w:p w14:paraId="74042389">
      <w:pPr>
        <w:pStyle w:val="44"/>
        <w:spacing w:before="156" w:beforeLines="50" w:after="156" w:afterLines="50" w:line="440" w:lineRule="exact"/>
        <w:rPr>
          <w:bCs/>
          <w:color w:val="auto"/>
          <w:szCs w:val="32"/>
          <w:highlight w:val="none"/>
        </w:rPr>
      </w:pPr>
    </w:p>
    <w:p w14:paraId="0E7BC9A1">
      <w:pPr>
        <w:rPr>
          <w:bCs/>
          <w:color w:val="auto"/>
          <w:szCs w:val="32"/>
          <w:highlight w:val="none"/>
        </w:rPr>
      </w:pPr>
      <w:r>
        <w:rPr>
          <w:rFonts w:hint="eastAsia"/>
          <w:bCs/>
          <w:color w:val="auto"/>
          <w:szCs w:val="32"/>
          <w:highlight w:val="none"/>
        </w:rPr>
        <w:br w:type="page"/>
      </w:r>
    </w:p>
    <w:p w14:paraId="3C0D8532">
      <w:pPr>
        <w:pStyle w:val="44"/>
        <w:spacing w:before="156" w:beforeLines="50" w:after="156" w:afterLines="50" w:line="440" w:lineRule="exact"/>
        <w:rPr>
          <w:bCs/>
          <w:color w:val="auto"/>
          <w:szCs w:val="32"/>
          <w:highlight w:val="none"/>
        </w:rPr>
      </w:pPr>
      <w:bookmarkStart w:id="1032" w:name="_Toc10062"/>
      <w:bookmarkStart w:id="1033" w:name="_Toc8272"/>
      <w:r>
        <w:rPr>
          <w:rFonts w:hint="eastAsia"/>
          <w:bCs/>
          <w:color w:val="auto"/>
          <w:szCs w:val="32"/>
          <w:highlight w:val="none"/>
        </w:rPr>
        <w:t>第七章  投标文件格式</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1032"/>
      <w:bookmarkEnd w:id="1033"/>
    </w:p>
    <w:p w14:paraId="079DB70D">
      <w:pPr>
        <w:rPr>
          <w:color w:val="auto"/>
          <w:highlight w:val="none"/>
        </w:rPr>
      </w:pPr>
    </w:p>
    <w:p w14:paraId="3E96739A">
      <w:pPr>
        <w:rPr>
          <w:color w:val="auto"/>
          <w:highlight w:val="none"/>
        </w:rPr>
      </w:pPr>
    </w:p>
    <w:p w14:paraId="57E801D1">
      <w:pPr>
        <w:rPr>
          <w:color w:val="auto"/>
          <w:highlight w:val="none"/>
        </w:rPr>
      </w:pPr>
    </w:p>
    <w:p w14:paraId="442C5D66">
      <w:pPr>
        <w:jc w:val="center"/>
        <w:rPr>
          <w:rFonts w:eastAsia="黑体"/>
          <w:color w:val="auto"/>
          <w:sz w:val="20"/>
          <w:szCs w:val="20"/>
          <w:highlight w:val="none"/>
        </w:rPr>
      </w:pPr>
      <w:r>
        <w:rPr>
          <w:rFonts w:eastAsia="黑体"/>
          <w:color w:val="auto"/>
          <w:sz w:val="28"/>
          <w:szCs w:val="28"/>
          <w:highlight w:val="none"/>
        </w:rPr>
        <w:t>（项目名称）</w:t>
      </w:r>
    </w:p>
    <w:p w14:paraId="59AC75E7">
      <w:pPr>
        <w:jc w:val="center"/>
        <w:rPr>
          <w:rFonts w:eastAsia="黑体"/>
          <w:color w:val="auto"/>
          <w:sz w:val="20"/>
          <w:szCs w:val="20"/>
          <w:highlight w:val="none"/>
        </w:rPr>
      </w:pPr>
    </w:p>
    <w:p w14:paraId="2C2204BE">
      <w:pPr>
        <w:jc w:val="center"/>
        <w:rPr>
          <w:rFonts w:eastAsia="黑体"/>
          <w:color w:val="auto"/>
          <w:sz w:val="20"/>
          <w:szCs w:val="20"/>
          <w:highlight w:val="none"/>
        </w:rPr>
      </w:pPr>
    </w:p>
    <w:p w14:paraId="334C821E">
      <w:pPr>
        <w:jc w:val="center"/>
        <w:rPr>
          <w:rFonts w:eastAsia="黑体"/>
          <w:color w:val="auto"/>
          <w:sz w:val="20"/>
          <w:szCs w:val="20"/>
          <w:highlight w:val="none"/>
        </w:rPr>
      </w:pPr>
    </w:p>
    <w:p w14:paraId="2A07684E">
      <w:pPr>
        <w:rPr>
          <w:rFonts w:eastAsia="黑体"/>
          <w:color w:val="auto"/>
          <w:sz w:val="20"/>
          <w:szCs w:val="20"/>
          <w:highlight w:val="none"/>
        </w:rPr>
      </w:pPr>
    </w:p>
    <w:p w14:paraId="6726C80D">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32E7F2D9">
      <w:pPr>
        <w:jc w:val="center"/>
        <w:rPr>
          <w:rFonts w:eastAsia="黑体"/>
          <w:color w:val="auto"/>
          <w:sz w:val="44"/>
          <w:szCs w:val="44"/>
          <w:highlight w:val="none"/>
        </w:rPr>
      </w:pPr>
      <w:r>
        <w:rPr>
          <w:rFonts w:hint="eastAsia" w:eastAsia="黑体"/>
          <w:color w:val="auto"/>
          <w:sz w:val="44"/>
          <w:szCs w:val="44"/>
          <w:highlight w:val="none"/>
        </w:rPr>
        <w:t>（资信证明文件）</w:t>
      </w:r>
    </w:p>
    <w:p w14:paraId="0156740C">
      <w:pPr>
        <w:rPr>
          <w:rFonts w:eastAsia="黑体"/>
          <w:color w:val="auto"/>
          <w:sz w:val="28"/>
          <w:szCs w:val="28"/>
          <w:highlight w:val="none"/>
        </w:rPr>
      </w:pPr>
    </w:p>
    <w:p w14:paraId="5A691068">
      <w:pPr>
        <w:rPr>
          <w:rFonts w:eastAsia="黑体"/>
          <w:color w:val="auto"/>
          <w:sz w:val="28"/>
          <w:szCs w:val="28"/>
          <w:highlight w:val="none"/>
        </w:rPr>
      </w:pPr>
    </w:p>
    <w:p w14:paraId="0B4E664A">
      <w:pPr>
        <w:rPr>
          <w:rFonts w:eastAsia="黑体"/>
          <w:color w:val="auto"/>
          <w:sz w:val="28"/>
          <w:szCs w:val="28"/>
          <w:highlight w:val="none"/>
        </w:rPr>
      </w:pPr>
    </w:p>
    <w:p w14:paraId="4EDECAB2">
      <w:pPr>
        <w:rPr>
          <w:rFonts w:eastAsia="黑体"/>
          <w:color w:val="auto"/>
          <w:sz w:val="28"/>
          <w:szCs w:val="28"/>
          <w:highlight w:val="none"/>
        </w:rPr>
      </w:pPr>
    </w:p>
    <w:p w14:paraId="141FDE31">
      <w:pPr>
        <w:pStyle w:val="2"/>
        <w:ind w:firstLine="420"/>
        <w:rPr>
          <w:rFonts w:ascii="Times New Roman"/>
          <w:color w:val="auto"/>
          <w:szCs w:val="24"/>
          <w:highlight w:val="none"/>
        </w:rPr>
      </w:pPr>
    </w:p>
    <w:p w14:paraId="75A972D9">
      <w:pPr>
        <w:rPr>
          <w:color w:val="auto"/>
          <w:highlight w:val="none"/>
        </w:rPr>
      </w:pPr>
    </w:p>
    <w:p w14:paraId="7ADE9374">
      <w:pPr>
        <w:pStyle w:val="2"/>
        <w:ind w:firstLine="420"/>
        <w:rPr>
          <w:rFonts w:ascii="Times New Roman"/>
          <w:color w:val="auto"/>
          <w:szCs w:val="24"/>
          <w:highlight w:val="none"/>
        </w:rPr>
      </w:pPr>
    </w:p>
    <w:p w14:paraId="31403A8A">
      <w:pPr>
        <w:rPr>
          <w:color w:val="auto"/>
          <w:highlight w:val="none"/>
        </w:rPr>
      </w:pPr>
    </w:p>
    <w:p w14:paraId="2E90A58F">
      <w:pPr>
        <w:pStyle w:val="2"/>
        <w:ind w:firstLine="420"/>
        <w:rPr>
          <w:color w:val="auto"/>
          <w:highlight w:val="none"/>
        </w:rPr>
      </w:pPr>
    </w:p>
    <w:p w14:paraId="2DCDE9F4">
      <w:pPr>
        <w:pStyle w:val="2"/>
        <w:ind w:firstLine="420"/>
        <w:rPr>
          <w:color w:val="auto"/>
          <w:highlight w:val="none"/>
        </w:rPr>
      </w:pPr>
    </w:p>
    <w:p w14:paraId="7DE82893">
      <w:pPr>
        <w:rPr>
          <w:rFonts w:eastAsia="黑体"/>
          <w:color w:val="auto"/>
          <w:sz w:val="28"/>
          <w:szCs w:val="28"/>
          <w:highlight w:val="none"/>
        </w:rPr>
      </w:pPr>
    </w:p>
    <w:p w14:paraId="3D8DCB54">
      <w:pPr>
        <w:rPr>
          <w:rFonts w:eastAsia="黑体"/>
          <w:color w:val="auto"/>
          <w:sz w:val="28"/>
          <w:szCs w:val="28"/>
          <w:highlight w:val="none"/>
        </w:rPr>
      </w:pPr>
    </w:p>
    <w:p w14:paraId="485E7701">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42BC170F">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78CF5B14">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2D0E8069">
      <w:pPr>
        <w:rPr>
          <w:color w:val="auto"/>
          <w:highlight w:val="none"/>
        </w:rPr>
      </w:pPr>
      <w:bookmarkStart w:id="1034" w:name="_Toc12683"/>
      <w:bookmarkStart w:id="1035" w:name="_Toc35424971"/>
      <w:bookmarkStart w:id="1036" w:name="_Toc35425137"/>
    </w:p>
    <w:p w14:paraId="7934E892">
      <w:pPr>
        <w:spacing w:before="156" w:beforeLines="50" w:after="156" w:afterLines="50" w:line="440" w:lineRule="exact"/>
        <w:ind w:firstLine="643" w:firstLineChars="200"/>
        <w:jc w:val="left"/>
        <w:rPr>
          <w:rFonts w:hint="eastAsia" w:ascii="宋体" w:hAnsi="宋体" w:cs="宋体"/>
          <w:b/>
          <w:color w:val="auto"/>
          <w:sz w:val="28"/>
          <w:szCs w:val="28"/>
          <w:highlight w:val="none"/>
        </w:rPr>
      </w:pPr>
      <w:bookmarkStart w:id="1037" w:name="_Toc78803399"/>
      <w:r>
        <w:rPr>
          <w:rStyle w:val="66"/>
          <w:rFonts w:hint="eastAsia" w:ascii="宋体" w:hAnsi="宋体" w:cs="宋体"/>
          <w:color w:val="auto"/>
          <w:sz w:val="32"/>
          <w:highlight w:val="none"/>
        </w:rPr>
        <w:br w:type="page"/>
      </w:r>
      <w:bookmarkStart w:id="1038" w:name="_Toc32179"/>
      <w:bookmarkStart w:id="1039" w:name="_Toc30830"/>
      <w:r>
        <w:rPr>
          <w:rStyle w:val="66"/>
          <w:rFonts w:hint="eastAsia" w:ascii="宋体" w:hAnsi="宋体" w:cs="宋体"/>
          <w:color w:val="auto"/>
          <w:sz w:val="32"/>
          <w:highlight w:val="none"/>
        </w:rPr>
        <w:t>投标文件一</w:t>
      </w:r>
      <w:bookmarkEnd w:id="1034"/>
      <w:bookmarkEnd w:id="1035"/>
      <w:bookmarkEnd w:id="1036"/>
      <w:bookmarkEnd w:id="1037"/>
      <w:bookmarkEnd w:id="1038"/>
      <w:bookmarkEnd w:id="1039"/>
      <w:r>
        <w:rPr>
          <w:rFonts w:hint="eastAsia" w:ascii="宋体" w:hAnsi="宋体" w:cs="宋体"/>
          <w:b/>
          <w:color w:val="auto"/>
          <w:sz w:val="28"/>
          <w:szCs w:val="28"/>
          <w:highlight w:val="none"/>
        </w:rPr>
        <w:t>：资信证明文件目录</w:t>
      </w:r>
    </w:p>
    <w:p w14:paraId="09A486A4">
      <w:pPr>
        <w:spacing w:line="440" w:lineRule="exact"/>
        <w:ind w:right="-168" w:rightChars="-8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69089943">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247D130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161085C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（4）企业资质证书；</w:t>
      </w:r>
    </w:p>
    <w:p w14:paraId="0EEE4679">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（5）企业安全生产许可证；</w:t>
      </w:r>
    </w:p>
    <w:p w14:paraId="43E2976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（6）项目经理（建造师）有效身份证、注册证书以及安全生产考核合格证书（B证）；</w:t>
      </w:r>
    </w:p>
    <w:p w14:paraId="026D040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7E064489">
      <w:pPr>
        <w:spacing w:line="44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rPr>
        <w:t>（8）资信评分评审所需材料</w:t>
      </w:r>
      <w:r>
        <w:rPr>
          <w:rFonts w:hint="eastAsia" w:ascii="宋体" w:hAnsi="宋体" w:cs="宋体"/>
          <w:color w:val="auto"/>
          <w:szCs w:val="21"/>
          <w:highlight w:val="none"/>
          <w:lang w:eastAsia="zh-CN"/>
        </w:rPr>
        <w:t>；</w:t>
      </w:r>
    </w:p>
    <w:p w14:paraId="6EDBC23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投标人认为需要的其它证明材料（如有）。</w:t>
      </w:r>
    </w:p>
    <w:p w14:paraId="0FBD4FCA">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378C0631">
      <w:pPr>
        <w:pStyle w:val="77"/>
        <w:spacing w:before="156" w:beforeLines="50" w:after="156" w:afterLines="50" w:line="440" w:lineRule="exact"/>
        <w:rPr>
          <w:rFonts w:ascii="宋体"/>
          <w:b/>
          <w:color w:val="auto"/>
          <w:sz w:val="24"/>
          <w:szCs w:val="24"/>
          <w:highlight w:val="none"/>
        </w:rPr>
      </w:pPr>
      <w:bookmarkStart w:id="1040" w:name="_Toc506107356"/>
      <w:bookmarkStart w:id="1041" w:name="_Toc26598"/>
      <w:bookmarkStart w:id="1042" w:name="_Toc503196197"/>
      <w:r>
        <w:rPr>
          <w:rFonts w:hint="eastAsia" w:ascii="宋体"/>
          <w:color w:val="auto"/>
          <w:sz w:val="24"/>
          <w:szCs w:val="24"/>
          <w:highlight w:val="none"/>
        </w:rPr>
        <w:t>1、法定代表人身份证明</w:t>
      </w:r>
    </w:p>
    <w:p w14:paraId="02F02E59">
      <w:pPr>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7090F4CA">
      <w:pPr>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6E023948">
      <w:pPr>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23913EFC">
      <w:pPr>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3E99E4C9">
      <w:pPr>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0077D5AC">
      <w:pPr>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1229518F">
      <w:pPr>
        <w:spacing w:line="440" w:lineRule="exact"/>
        <w:rPr>
          <w:rFonts w:ascii="宋体"/>
          <w:color w:val="auto"/>
          <w:sz w:val="24"/>
          <w:highlight w:val="none"/>
        </w:rPr>
      </w:pPr>
      <w:r>
        <w:rPr>
          <w:rFonts w:hint="eastAsia" w:ascii="宋体"/>
          <w:color w:val="auto"/>
          <w:sz w:val="24"/>
          <w:highlight w:val="none"/>
        </w:rPr>
        <w:t>特此证明。</w:t>
      </w:r>
    </w:p>
    <w:p w14:paraId="5DE30D90">
      <w:pPr>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（盖章）</w:t>
      </w:r>
    </w:p>
    <w:p w14:paraId="0BDFBE46">
      <w:pPr>
        <w:spacing w:line="440" w:lineRule="exact"/>
        <w:rPr>
          <w:rFonts w:ascii="宋体"/>
          <w:color w:val="auto"/>
          <w:sz w:val="24"/>
          <w:highlight w:val="none"/>
        </w:rPr>
      </w:pPr>
      <w:r>
        <w:rPr>
          <w:rFonts w:hint="eastAsia" w:ascii="宋体"/>
          <w:color w:val="auto"/>
          <w:sz w:val="24"/>
          <w:highlight w:val="none"/>
        </w:rPr>
        <w:t xml:space="preserve">                                        年    月     日</w:t>
      </w:r>
    </w:p>
    <w:p w14:paraId="40D8ADE0">
      <w:pPr>
        <w:spacing w:line="240" w:lineRule="atLeast"/>
        <w:rPr>
          <w:color w:val="auto"/>
          <w:highlight w:val="none"/>
        </w:rPr>
      </w:pPr>
    </w:p>
    <w:p w14:paraId="71FEBFB2">
      <w:pPr>
        <w:pStyle w:val="77"/>
        <w:spacing w:before="156" w:beforeLines="50" w:after="156" w:afterLines="50" w:line="440" w:lineRule="exact"/>
        <w:rPr>
          <w:rFonts w:ascii="宋体"/>
          <w:color w:val="auto"/>
          <w:sz w:val="24"/>
          <w:szCs w:val="24"/>
          <w:highlight w:val="none"/>
        </w:rPr>
      </w:pPr>
      <w:r>
        <w:rPr>
          <w:rFonts w:hint="eastAsia" w:ascii="宋体"/>
          <w:color w:val="auto"/>
          <w:sz w:val="24"/>
          <w:szCs w:val="24"/>
          <w:highlight w:val="none"/>
        </w:rPr>
        <w:t>或1、授权委托书</w:t>
      </w:r>
    </w:p>
    <w:p w14:paraId="6FEB70E3">
      <w:pPr>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rPr>
        <w:t>投标文件，全权处理与该项目投标、评审答疑、签订合同以及与合同执行有关的一切事务，其法律后果由我方承担。</w:t>
      </w:r>
    </w:p>
    <w:p w14:paraId="3FC8FBBB">
      <w:pPr>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s="宋体"/>
          <w:color w:val="auto"/>
          <w:sz w:val="24"/>
          <w:highlight w:val="none"/>
        </w:rPr>
        <w:t>。</w:t>
      </w:r>
    </w:p>
    <w:p w14:paraId="0AF1155C">
      <w:pPr>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765FDCAF">
      <w:pPr>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2F1BF6D2">
      <w:pPr>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4A8FA688">
      <w:pPr>
        <w:spacing w:line="440" w:lineRule="exact"/>
        <w:ind w:firstLine="833" w:firstLineChars="397"/>
        <w:rPr>
          <w:color w:val="auto"/>
          <w:highlight w:val="none"/>
        </w:rPr>
      </w:pPr>
    </w:p>
    <w:p w14:paraId="324C78A2">
      <w:pPr>
        <w:spacing w:line="440" w:lineRule="exact"/>
        <w:ind w:firstLine="3720" w:firstLineChars="1550"/>
        <w:rPr>
          <w:rFonts w:ascii="宋体"/>
          <w:color w:val="auto"/>
          <w:sz w:val="24"/>
          <w:highlight w:val="none"/>
        </w:rPr>
      </w:pPr>
      <w:r>
        <w:rPr>
          <w:rFonts w:hint="eastAsia" w:ascii="宋体"/>
          <w:color w:val="auto"/>
          <w:sz w:val="24"/>
          <w:highlight w:val="none"/>
        </w:rPr>
        <w:t xml:space="preserve"> 投标人（盖章）：</w:t>
      </w:r>
    </w:p>
    <w:p w14:paraId="37E83736">
      <w:pPr>
        <w:spacing w:line="440" w:lineRule="exact"/>
        <w:ind w:firstLine="3720" w:firstLineChars="1550"/>
        <w:rPr>
          <w:rFonts w:ascii="宋体"/>
          <w:color w:val="auto"/>
          <w:sz w:val="24"/>
          <w:highlight w:val="none"/>
        </w:rPr>
      </w:pPr>
      <w:r>
        <w:rPr>
          <w:rFonts w:hint="eastAsia" w:ascii="宋体"/>
          <w:color w:val="auto"/>
          <w:sz w:val="24"/>
          <w:highlight w:val="none"/>
        </w:rPr>
        <w:t>法定代表人（身份证号码）：    （签字或盖章）</w:t>
      </w:r>
    </w:p>
    <w:p w14:paraId="72BD2605">
      <w:pPr>
        <w:spacing w:line="440" w:lineRule="exact"/>
        <w:ind w:firstLine="5640" w:firstLineChars="2350"/>
        <w:rPr>
          <w:rFonts w:ascii="宋体"/>
          <w:color w:val="auto"/>
          <w:sz w:val="24"/>
          <w:highlight w:val="none"/>
        </w:rPr>
      </w:pPr>
      <w:r>
        <w:rPr>
          <w:rFonts w:hint="eastAsia" w:ascii="宋体"/>
          <w:color w:val="auto"/>
          <w:sz w:val="24"/>
          <w:highlight w:val="none"/>
        </w:rPr>
        <w:t>联系电话：</w:t>
      </w:r>
    </w:p>
    <w:p w14:paraId="5B2BC288">
      <w:pPr>
        <w:spacing w:line="440" w:lineRule="exact"/>
        <w:ind w:firstLine="3720" w:firstLineChars="1550"/>
        <w:rPr>
          <w:rFonts w:ascii="宋体"/>
          <w:color w:val="auto"/>
          <w:sz w:val="24"/>
          <w:highlight w:val="none"/>
        </w:rPr>
      </w:pPr>
      <w:r>
        <w:rPr>
          <w:rFonts w:hint="eastAsia" w:ascii="宋体"/>
          <w:color w:val="auto"/>
          <w:sz w:val="24"/>
          <w:highlight w:val="none"/>
        </w:rPr>
        <w:t>委托代理人（身份证号码）：    （签字或盖章）</w:t>
      </w:r>
    </w:p>
    <w:p w14:paraId="7A80CA6F">
      <w:pPr>
        <w:spacing w:line="440" w:lineRule="exact"/>
        <w:ind w:firstLine="5040" w:firstLineChars="2100"/>
        <w:rPr>
          <w:rFonts w:ascii="宋体"/>
          <w:color w:val="auto"/>
          <w:sz w:val="24"/>
          <w:highlight w:val="none"/>
        </w:rPr>
      </w:pPr>
      <w:r>
        <w:rPr>
          <w:rFonts w:hint="eastAsia" w:ascii="宋体"/>
          <w:color w:val="auto"/>
          <w:sz w:val="24"/>
          <w:highlight w:val="none"/>
        </w:rPr>
        <w:t xml:space="preserve">     联系电话：</w:t>
      </w:r>
    </w:p>
    <w:p w14:paraId="47CEE139">
      <w:pPr>
        <w:spacing w:line="440" w:lineRule="exact"/>
        <w:ind w:firstLine="5700" w:firstLineChars="2375"/>
        <w:rPr>
          <w:rFonts w:ascii="宋体"/>
          <w:color w:val="auto"/>
          <w:sz w:val="24"/>
          <w:highlight w:val="none"/>
        </w:rPr>
      </w:pPr>
      <w:r>
        <w:rPr>
          <w:rFonts w:hint="eastAsia" w:ascii="宋体"/>
          <w:color w:val="auto"/>
          <w:sz w:val="24"/>
          <w:highlight w:val="none"/>
        </w:rPr>
        <w:t>年    月    日</w:t>
      </w:r>
    </w:p>
    <w:p w14:paraId="330DD238">
      <w:pPr>
        <w:spacing w:line="360" w:lineRule="exact"/>
        <w:jc w:val="center"/>
        <w:rPr>
          <w:b/>
          <w:color w:val="auto"/>
          <w:sz w:val="28"/>
          <w:szCs w:val="28"/>
          <w:highlight w:val="none"/>
        </w:rPr>
      </w:pPr>
    </w:p>
    <w:p w14:paraId="3FA83F0A">
      <w:pPr>
        <w:rPr>
          <w:b/>
          <w:color w:val="auto"/>
          <w:sz w:val="28"/>
          <w:szCs w:val="28"/>
          <w:highlight w:val="none"/>
        </w:rPr>
      </w:pPr>
      <w:r>
        <w:rPr>
          <w:rFonts w:hint="eastAsia"/>
          <w:b/>
          <w:color w:val="auto"/>
          <w:sz w:val="28"/>
          <w:szCs w:val="28"/>
          <w:highlight w:val="none"/>
        </w:rPr>
        <w:br w:type="page"/>
      </w:r>
    </w:p>
    <w:p w14:paraId="003DE783">
      <w:pPr>
        <w:spacing w:line="360" w:lineRule="exact"/>
        <w:jc w:val="center"/>
        <w:rPr>
          <w:b/>
          <w:color w:val="auto"/>
          <w:sz w:val="28"/>
          <w:szCs w:val="28"/>
          <w:highlight w:val="none"/>
        </w:rPr>
      </w:pPr>
      <w:r>
        <w:rPr>
          <w:rFonts w:hint="eastAsia"/>
          <w:b/>
          <w:color w:val="auto"/>
          <w:sz w:val="28"/>
          <w:szCs w:val="28"/>
          <w:highlight w:val="none"/>
        </w:rPr>
        <w:t>（2）诚信投标承诺书</w:t>
      </w:r>
      <w:bookmarkEnd w:id="1040"/>
      <w:bookmarkEnd w:id="1041"/>
      <w:bookmarkEnd w:id="1042"/>
    </w:p>
    <w:p w14:paraId="191966E3">
      <w:pPr>
        <w:spacing w:line="360" w:lineRule="exact"/>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02BB7543">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7451C844">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14:paraId="6490849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1E9447F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7BFA66A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26525E97">
      <w:pPr>
        <w:spacing w:line="360" w:lineRule="exact"/>
        <w:ind w:firstLine="420" w:firstLineChars="200"/>
        <w:rPr>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我公司</w:t>
      </w:r>
      <w:r>
        <w:rPr>
          <w:rFonts w:hint="eastAsia" w:ascii="宋体" w:hAnsi="宋体"/>
          <w:color w:val="auto"/>
          <w:szCs w:val="21"/>
          <w:highlight w:val="none"/>
        </w:rPr>
        <w:t>没有下列情形： 1、被人民法院列入失信被执行人的；2、我公司及其法定代表人、拟任项目经理（总监理工程师）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14:paraId="32725BF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12488BA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6C5CBA9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01EC5C2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0835BF2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48FDF3F7">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二、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234B7B2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w:t>
      </w:r>
    </w:p>
    <w:p w14:paraId="50D102CC">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                          基本账户：</w:t>
      </w:r>
    </w:p>
    <w:p w14:paraId="1B9DAF7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投标人（盖章）：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法定代表人（签字或盖章）：</w:t>
      </w:r>
    </w:p>
    <w:p w14:paraId="60A454D8">
      <w:pPr>
        <w:spacing w:line="360" w:lineRule="exact"/>
        <w:ind w:firstLine="5250" w:firstLineChars="2500"/>
        <w:rPr>
          <w:color w:val="auto"/>
          <w:highlight w:val="none"/>
        </w:rPr>
      </w:pPr>
      <w:r>
        <w:rPr>
          <w:rFonts w:hint="eastAsia" w:ascii="宋体" w:hAnsi="宋体"/>
          <w:color w:val="auto"/>
          <w:szCs w:val="21"/>
          <w:highlight w:val="none"/>
        </w:rPr>
        <w:t>日期：    年   月   日</w:t>
      </w:r>
    </w:p>
    <w:p w14:paraId="0D0E661E">
      <w:pPr>
        <w:rPr>
          <w:rFonts w:eastAsia="黑体"/>
          <w:color w:val="auto"/>
          <w:sz w:val="28"/>
          <w:szCs w:val="28"/>
          <w:highlight w:val="none"/>
          <w:u w:val="single"/>
        </w:rPr>
      </w:pPr>
      <w:r>
        <w:rPr>
          <w:rFonts w:hint="eastAsia" w:ascii="宋体" w:hAnsi="宋体"/>
          <w:b/>
          <w:color w:val="auto"/>
          <w:sz w:val="32"/>
          <w:szCs w:val="32"/>
          <w:highlight w:val="none"/>
        </w:rPr>
        <w:br w:type="page"/>
      </w:r>
    </w:p>
    <w:p w14:paraId="4CF47D86">
      <w:pPr>
        <w:jc w:val="center"/>
        <w:rPr>
          <w:rFonts w:eastAsia="黑体"/>
          <w:color w:val="auto"/>
          <w:sz w:val="28"/>
          <w:szCs w:val="28"/>
          <w:highlight w:val="none"/>
        </w:rPr>
      </w:pPr>
    </w:p>
    <w:p w14:paraId="45B6FCF6">
      <w:pPr>
        <w:jc w:val="center"/>
        <w:rPr>
          <w:rFonts w:eastAsia="黑体"/>
          <w:color w:val="auto"/>
          <w:sz w:val="20"/>
          <w:szCs w:val="20"/>
          <w:highlight w:val="none"/>
        </w:rPr>
      </w:pPr>
      <w:r>
        <w:rPr>
          <w:rFonts w:eastAsia="黑体"/>
          <w:color w:val="auto"/>
          <w:sz w:val="28"/>
          <w:szCs w:val="28"/>
          <w:highlight w:val="none"/>
        </w:rPr>
        <w:t>（项目名称）</w:t>
      </w:r>
    </w:p>
    <w:p w14:paraId="2A029636">
      <w:pPr>
        <w:jc w:val="center"/>
        <w:rPr>
          <w:rFonts w:eastAsia="黑体"/>
          <w:color w:val="auto"/>
          <w:sz w:val="20"/>
          <w:szCs w:val="20"/>
          <w:highlight w:val="none"/>
        </w:rPr>
      </w:pPr>
    </w:p>
    <w:p w14:paraId="0D474335">
      <w:pPr>
        <w:rPr>
          <w:rFonts w:eastAsia="黑体"/>
          <w:color w:val="auto"/>
          <w:sz w:val="20"/>
          <w:szCs w:val="20"/>
          <w:highlight w:val="none"/>
        </w:rPr>
      </w:pPr>
    </w:p>
    <w:p w14:paraId="10593246">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二</w:t>
      </w:r>
    </w:p>
    <w:p w14:paraId="02FAAB9B">
      <w:pPr>
        <w:jc w:val="center"/>
        <w:rPr>
          <w:rFonts w:eastAsia="黑体"/>
          <w:color w:val="auto"/>
          <w:sz w:val="44"/>
          <w:szCs w:val="44"/>
          <w:highlight w:val="none"/>
        </w:rPr>
      </w:pPr>
      <w:r>
        <w:rPr>
          <w:rFonts w:hint="eastAsia" w:eastAsia="黑体"/>
          <w:color w:val="auto"/>
          <w:sz w:val="44"/>
          <w:szCs w:val="44"/>
          <w:highlight w:val="none"/>
        </w:rPr>
        <w:t>（技术标文件）</w:t>
      </w:r>
    </w:p>
    <w:p w14:paraId="72BFB1D1">
      <w:pPr>
        <w:rPr>
          <w:rFonts w:eastAsia="黑体"/>
          <w:color w:val="auto"/>
          <w:sz w:val="28"/>
          <w:szCs w:val="28"/>
          <w:highlight w:val="none"/>
        </w:rPr>
      </w:pPr>
    </w:p>
    <w:p w14:paraId="0B608A2B">
      <w:pPr>
        <w:rPr>
          <w:rFonts w:eastAsia="黑体"/>
          <w:color w:val="auto"/>
          <w:sz w:val="28"/>
          <w:szCs w:val="28"/>
          <w:highlight w:val="none"/>
        </w:rPr>
      </w:pPr>
    </w:p>
    <w:p w14:paraId="7272C981">
      <w:pPr>
        <w:rPr>
          <w:rFonts w:eastAsia="黑体"/>
          <w:color w:val="auto"/>
          <w:sz w:val="28"/>
          <w:szCs w:val="28"/>
          <w:highlight w:val="none"/>
        </w:rPr>
      </w:pPr>
    </w:p>
    <w:p w14:paraId="0C634496">
      <w:pPr>
        <w:pStyle w:val="2"/>
        <w:ind w:firstLine="560"/>
        <w:rPr>
          <w:rFonts w:eastAsia="黑体"/>
          <w:color w:val="auto"/>
          <w:sz w:val="28"/>
          <w:szCs w:val="28"/>
          <w:highlight w:val="none"/>
        </w:rPr>
      </w:pPr>
    </w:p>
    <w:p w14:paraId="384AED35">
      <w:pPr>
        <w:rPr>
          <w:rFonts w:eastAsia="黑体"/>
          <w:color w:val="auto"/>
          <w:sz w:val="28"/>
          <w:szCs w:val="28"/>
          <w:highlight w:val="none"/>
        </w:rPr>
      </w:pPr>
    </w:p>
    <w:p w14:paraId="4CBE4876">
      <w:pPr>
        <w:pStyle w:val="2"/>
        <w:ind w:firstLine="560"/>
        <w:rPr>
          <w:rFonts w:eastAsia="黑体"/>
          <w:color w:val="auto"/>
          <w:sz w:val="28"/>
          <w:szCs w:val="28"/>
          <w:highlight w:val="none"/>
        </w:rPr>
      </w:pPr>
    </w:p>
    <w:p w14:paraId="3C86F059">
      <w:pPr>
        <w:rPr>
          <w:color w:val="auto"/>
          <w:highlight w:val="none"/>
        </w:rPr>
      </w:pPr>
    </w:p>
    <w:p w14:paraId="65928A0F">
      <w:pPr>
        <w:rPr>
          <w:rFonts w:eastAsia="黑体"/>
          <w:color w:val="auto"/>
          <w:sz w:val="28"/>
          <w:szCs w:val="28"/>
          <w:highlight w:val="none"/>
        </w:rPr>
      </w:pPr>
    </w:p>
    <w:p w14:paraId="01D6B4A6">
      <w:pPr>
        <w:rPr>
          <w:rFonts w:eastAsia="黑体"/>
          <w:color w:val="auto"/>
          <w:sz w:val="28"/>
          <w:szCs w:val="28"/>
          <w:highlight w:val="none"/>
        </w:rPr>
      </w:pPr>
    </w:p>
    <w:p w14:paraId="4461CAD0">
      <w:pPr>
        <w:rPr>
          <w:rFonts w:eastAsia="黑体"/>
          <w:color w:val="auto"/>
          <w:sz w:val="28"/>
          <w:szCs w:val="28"/>
          <w:highlight w:val="none"/>
        </w:rPr>
      </w:pPr>
    </w:p>
    <w:p w14:paraId="68AA00C1">
      <w:pPr>
        <w:rPr>
          <w:rFonts w:eastAsia="黑体"/>
          <w:color w:val="auto"/>
          <w:sz w:val="28"/>
          <w:szCs w:val="28"/>
          <w:highlight w:val="none"/>
        </w:rPr>
      </w:pPr>
    </w:p>
    <w:p w14:paraId="28B15D6E">
      <w:pPr>
        <w:rPr>
          <w:rFonts w:eastAsia="黑体"/>
          <w:color w:val="auto"/>
          <w:sz w:val="28"/>
          <w:szCs w:val="28"/>
          <w:highlight w:val="none"/>
        </w:rPr>
      </w:pPr>
    </w:p>
    <w:p w14:paraId="52D38A94">
      <w:pPr>
        <w:jc w:val="center"/>
        <w:rPr>
          <w:rFonts w:eastAsia="黑体"/>
          <w:color w:val="auto"/>
          <w:sz w:val="28"/>
          <w:szCs w:val="28"/>
          <w:highlight w:val="none"/>
          <w:u w:val="single"/>
        </w:rPr>
      </w:pPr>
      <w:bookmarkStart w:id="1043" w:name="_Toc35424972"/>
      <w:bookmarkStart w:id="1044" w:name="_Toc35425138"/>
      <w:bookmarkStart w:id="1045" w:name="_Toc3395"/>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6F2E6B00">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393A82CA">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583377D0">
      <w:pPr>
        <w:spacing w:line="540" w:lineRule="exact"/>
        <w:rPr>
          <w:rStyle w:val="66"/>
          <w:rFonts w:hint="eastAsia" w:ascii="宋体" w:hAnsi="宋体" w:cs="宋体"/>
          <w:color w:val="auto"/>
          <w:sz w:val="32"/>
          <w:highlight w:val="none"/>
        </w:rPr>
      </w:pPr>
    </w:p>
    <w:p w14:paraId="00B9B6BE">
      <w:pPr>
        <w:spacing w:before="156" w:beforeLines="50" w:after="156" w:afterLines="50" w:line="440" w:lineRule="exact"/>
        <w:ind w:firstLine="643" w:firstLineChars="200"/>
        <w:jc w:val="left"/>
        <w:rPr>
          <w:rStyle w:val="66"/>
          <w:rFonts w:hint="eastAsia" w:ascii="宋体" w:hAnsi="宋体" w:cs="宋体"/>
          <w:color w:val="auto"/>
          <w:sz w:val="32"/>
          <w:highlight w:val="none"/>
        </w:rPr>
      </w:pPr>
      <w:bookmarkStart w:id="1046" w:name="_Toc78803400"/>
      <w:r>
        <w:rPr>
          <w:rStyle w:val="66"/>
          <w:rFonts w:hint="eastAsia" w:ascii="宋体" w:hAnsi="宋体" w:cs="宋体"/>
          <w:color w:val="auto"/>
          <w:sz w:val="32"/>
          <w:highlight w:val="none"/>
        </w:rPr>
        <w:br w:type="page"/>
      </w:r>
      <w:bookmarkStart w:id="1047" w:name="_Toc13669"/>
      <w:bookmarkStart w:id="1048" w:name="_Toc23256"/>
      <w:r>
        <w:rPr>
          <w:rStyle w:val="66"/>
          <w:rFonts w:hint="eastAsia" w:ascii="宋体" w:hAnsi="宋体" w:cs="宋体"/>
          <w:color w:val="auto"/>
          <w:sz w:val="32"/>
          <w:highlight w:val="none"/>
        </w:rPr>
        <w:t>投标文件二</w:t>
      </w:r>
      <w:bookmarkEnd w:id="1043"/>
      <w:bookmarkEnd w:id="1044"/>
      <w:bookmarkEnd w:id="1045"/>
      <w:r>
        <w:rPr>
          <w:rStyle w:val="66"/>
          <w:rFonts w:hint="eastAsia" w:ascii="宋体" w:hAnsi="宋体" w:cs="宋体"/>
          <w:color w:val="auto"/>
          <w:sz w:val="32"/>
          <w:highlight w:val="none"/>
        </w:rPr>
        <w:t>：技术标目录</w:t>
      </w:r>
      <w:bookmarkEnd w:id="1046"/>
    </w:p>
    <w:bookmarkEnd w:id="1047"/>
    <w:bookmarkEnd w:id="1048"/>
    <w:p w14:paraId="010A927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w:t>
      </w:r>
      <w:r>
        <w:rPr>
          <w:rFonts w:hint="eastAsia" w:ascii="宋体" w:hAnsi="宋体" w:cs="宋体"/>
          <w:color w:val="auto"/>
          <w:szCs w:val="21"/>
          <w:highlight w:val="none"/>
          <w:lang w:bidi="ar"/>
        </w:rPr>
        <w:t>施工组织设计；</w:t>
      </w:r>
    </w:p>
    <w:p w14:paraId="68A72228">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lang w:bidi="ar"/>
        </w:rPr>
        <w:t>（2）其他技术标评审所需资料</w:t>
      </w:r>
      <w:r>
        <w:rPr>
          <w:rFonts w:hint="eastAsia" w:ascii="宋体" w:hAnsi="宋体" w:cs="宋体"/>
          <w:bCs/>
          <w:color w:val="auto"/>
          <w:szCs w:val="21"/>
          <w:highlight w:val="none"/>
        </w:rPr>
        <w:t>。</w:t>
      </w:r>
    </w:p>
    <w:p w14:paraId="5A8814D9">
      <w:pPr>
        <w:spacing w:line="360" w:lineRule="auto"/>
        <w:ind w:firstLine="420" w:firstLineChars="200"/>
        <w:rPr>
          <w:rFonts w:hint="eastAsia" w:ascii="宋体" w:hAnsi="宋体"/>
          <w:color w:val="auto"/>
          <w:szCs w:val="21"/>
          <w:highlight w:val="none"/>
        </w:rPr>
      </w:pPr>
    </w:p>
    <w:p w14:paraId="404655E6">
      <w:pPr>
        <w:rPr>
          <w:color w:val="auto"/>
          <w:highlight w:val="none"/>
        </w:rPr>
      </w:pPr>
    </w:p>
    <w:p w14:paraId="4A4C24B7">
      <w:pPr>
        <w:rPr>
          <w:color w:val="auto"/>
          <w:highlight w:val="none"/>
        </w:rPr>
      </w:pPr>
    </w:p>
    <w:p w14:paraId="5FFDF593">
      <w:pPr>
        <w:pStyle w:val="4"/>
        <w:rPr>
          <w:color w:val="auto"/>
          <w:highlight w:val="none"/>
        </w:rPr>
      </w:pPr>
      <w:r>
        <w:rPr>
          <w:color w:val="auto"/>
          <w:highlight w:val="none"/>
        </w:rPr>
        <w:br w:type="page"/>
      </w:r>
    </w:p>
    <w:p w14:paraId="3DB468BC">
      <w:pPr>
        <w:rPr>
          <w:color w:val="auto"/>
          <w:highlight w:val="none"/>
        </w:rPr>
      </w:pPr>
    </w:p>
    <w:p w14:paraId="5C32F266">
      <w:pPr>
        <w:jc w:val="center"/>
        <w:rPr>
          <w:rFonts w:eastAsia="黑体"/>
          <w:color w:val="auto"/>
          <w:sz w:val="20"/>
          <w:szCs w:val="20"/>
          <w:highlight w:val="none"/>
        </w:rPr>
      </w:pPr>
      <w:r>
        <w:rPr>
          <w:rFonts w:eastAsia="黑体"/>
          <w:color w:val="auto"/>
          <w:sz w:val="28"/>
          <w:szCs w:val="28"/>
          <w:highlight w:val="none"/>
        </w:rPr>
        <w:t>（项目名称）</w:t>
      </w:r>
    </w:p>
    <w:p w14:paraId="13596634">
      <w:pPr>
        <w:jc w:val="center"/>
        <w:rPr>
          <w:rFonts w:eastAsia="黑体"/>
          <w:color w:val="auto"/>
          <w:sz w:val="20"/>
          <w:szCs w:val="20"/>
          <w:highlight w:val="none"/>
        </w:rPr>
      </w:pPr>
    </w:p>
    <w:p w14:paraId="3D09FFF3">
      <w:pPr>
        <w:rPr>
          <w:rFonts w:eastAsia="黑体"/>
          <w:color w:val="auto"/>
          <w:sz w:val="20"/>
          <w:szCs w:val="20"/>
          <w:highlight w:val="none"/>
        </w:rPr>
      </w:pPr>
    </w:p>
    <w:p w14:paraId="5A7C12E8">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三</w:t>
      </w:r>
    </w:p>
    <w:p w14:paraId="02C76410">
      <w:pPr>
        <w:jc w:val="center"/>
        <w:rPr>
          <w:rFonts w:eastAsia="黑体"/>
          <w:color w:val="auto"/>
          <w:sz w:val="44"/>
          <w:szCs w:val="44"/>
          <w:highlight w:val="none"/>
        </w:rPr>
      </w:pPr>
      <w:r>
        <w:rPr>
          <w:rFonts w:hint="eastAsia" w:eastAsia="黑体"/>
          <w:color w:val="auto"/>
          <w:sz w:val="44"/>
          <w:szCs w:val="44"/>
          <w:highlight w:val="none"/>
        </w:rPr>
        <w:t>（商务标文件）</w:t>
      </w:r>
    </w:p>
    <w:p w14:paraId="711A3180">
      <w:pPr>
        <w:rPr>
          <w:rFonts w:eastAsia="黑体"/>
          <w:color w:val="auto"/>
          <w:sz w:val="28"/>
          <w:szCs w:val="28"/>
          <w:highlight w:val="none"/>
        </w:rPr>
      </w:pPr>
    </w:p>
    <w:p w14:paraId="14BE047C">
      <w:pPr>
        <w:rPr>
          <w:rFonts w:eastAsia="黑体"/>
          <w:color w:val="auto"/>
          <w:sz w:val="28"/>
          <w:szCs w:val="28"/>
          <w:highlight w:val="none"/>
        </w:rPr>
      </w:pPr>
    </w:p>
    <w:p w14:paraId="281193C2">
      <w:pPr>
        <w:rPr>
          <w:rFonts w:eastAsia="黑体"/>
          <w:color w:val="auto"/>
          <w:sz w:val="28"/>
          <w:szCs w:val="28"/>
          <w:highlight w:val="none"/>
        </w:rPr>
      </w:pPr>
    </w:p>
    <w:p w14:paraId="686E454F">
      <w:pPr>
        <w:rPr>
          <w:rFonts w:eastAsia="黑体"/>
          <w:color w:val="auto"/>
          <w:sz w:val="28"/>
          <w:szCs w:val="28"/>
          <w:highlight w:val="none"/>
        </w:rPr>
      </w:pPr>
    </w:p>
    <w:p w14:paraId="0CF514C8">
      <w:pPr>
        <w:rPr>
          <w:rFonts w:eastAsia="黑体"/>
          <w:color w:val="auto"/>
          <w:sz w:val="28"/>
          <w:szCs w:val="28"/>
          <w:highlight w:val="none"/>
        </w:rPr>
      </w:pPr>
    </w:p>
    <w:p w14:paraId="3636606A">
      <w:pPr>
        <w:rPr>
          <w:rFonts w:eastAsia="黑体"/>
          <w:color w:val="auto"/>
          <w:sz w:val="28"/>
          <w:szCs w:val="28"/>
          <w:highlight w:val="none"/>
        </w:rPr>
      </w:pPr>
    </w:p>
    <w:p w14:paraId="57E31B29">
      <w:pPr>
        <w:rPr>
          <w:rFonts w:eastAsia="黑体"/>
          <w:color w:val="auto"/>
          <w:sz w:val="28"/>
          <w:szCs w:val="28"/>
          <w:highlight w:val="none"/>
        </w:rPr>
      </w:pPr>
    </w:p>
    <w:p w14:paraId="2193CDF7">
      <w:pPr>
        <w:rPr>
          <w:rFonts w:eastAsia="黑体"/>
          <w:color w:val="auto"/>
          <w:sz w:val="28"/>
          <w:szCs w:val="28"/>
          <w:highlight w:val="none"/>
        </w:rPr>
      </w:pPr>
    </w:p>
    <w:p w14:paraId="1C042FF6">
      <w:pPr>
        <w:rPr>
          <w:rFonts w:eastAsia="黑体"/>
          <w:color w:val="auto"/>
          <w:sz w:val="28"/>
          <w:szCs w:val="28"/>
          <w:highlight w:val="none"/>
        </w:rPr>
      </w:pPr>
    </w:p>
    <w:p w14:paraId="2293D2A8">
      <w:pPr>
        <w:rPr>
          <w:rFonts w:eastAsia="黑体"/>
          <w:color w:val="auto"/>
          <w:sz w:val="28"/>
          <w:szCs w:val="28"/>
          <w:highlight w:val="none"/>
        </w:rPr>
      </w:pPr>
    </w:p>
    <w:p w14:paraId="6D2322B6">
      <w:pPr>
        <w:rPr>
          <w:rFonts w:eastAsia="黑体"/>
          <w:color w:val="auto"/>
          <w:sz w:val="28"/>
          <w:szCs w:val="28"/>
          <w:highlight w:val="none"/>
        </w:rPr>
      </w:pPr>
    </w:p>
    <w:p w14:paraId="764CE064">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11C38CEA">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3260C0A1">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0793D2CD">
      <w:pPr>
        <w:rPr>
          <w:color w:val="auto"/>
          <w:highlight w:val="none"/>
        </w:rPr>
      </w:pPr>
    </w:p>
    <w:p w14:paraId="0D379B2F">
      <w:pPr>
        <w:pStyle w:val="2"/>
        <w:ind w:firstLine="420"/>
        <w:rPr>
          <w:color w:val="auto"/>
          <w:highlight w:val="none"/>
        </w:rPr>
      </w:pPr>
    </w:p>
    <w:p w14:paraId="474A7633">
      <w:pPr>
        <w:rPr>
          <w:color w:val="auto"/>
          <w:highlight w:val="none"/>
        </w:rPr>
      </w:pPr>
    </w:p>
    <w:p w14:paraId="27E4E894">
      <w:pPr>
        <w:spacing w:before="156" w:beforeLines="50" w:after="156" w:afterLines="50" w:line="440" w:lineRule="exact"/>
        <w:ind w:firstLine="643" w:firstLineChars="200"/>
        <w:jc w:val="left"/>
        <w:rPr>
          <w:rStyle w:val="66"/>
          <w:rFonts w:hint="eastAsia" w:ascii="宋体" w:hAnsi="宋体" w:cs="宋体"/>
          <w:color w:val="auto"/>
          <w:sz w:val="32"/>
          <w:highlight w:val="none"/>
        </w:rPr>
      </w:pPr>
      <w:bookmarkStart w:id="1049" w:name="_Toc35425139"/>
      <w:bookmarkStart w:id="1050" w:name="_Toc35424973"/>
      <w:bookmarkStart w:id="1051" w:name="_Toc19174"/>
      <w:bookmarkStart w:id="1052" w:name="_Toc78803401"/>
      <w:r>
        <w:rPr>
          <w:rStyle w:val="66"/>
          <w:rFonts w:hint="eastAsia" w:ascii="宋体" w:hAnsi="宋体" w:cs="宋体"/>
          <w:color w:val="auto"/>
          <w:sz w:val="32"/>
          <w:highlight w:val="none"/>
        </w:rPr>
        <w:br w:type="page"/>
      </w:r>
      <w:bookmarkStart w:id="1053" w:name="_Toc27877"/>
      <w:bookmarkStart w:id="1054" w:name="_Toc19057"/>
      <w:r>
        <w:rPr>
          <w:rStyle w:val="66"/>
          <w:rFonts w:hint="eastAsia" w:ascii="宋体" w:hAnsi="宋体" w:cs="宋体"/>
          <w:color w:val="auto"/>
          <w:sz w:val="32"/>
          <w:highlight w:val="none"/>
        </w:rPr>
        <w:t>投标文件三</w:t>
      </w:r>
      <w:bookmarkEnd w:id="1049"/>
      <w:bookmarkEnd w:id="1050"/>
      <w:bookmarkEnd w:id="1051"/>
      <w:r>
        <w:rPr>
          <w:rStyle w:val="66"/>
          <w:rFonts w:hint="eastAsia" w:ascii="宋体" w:hAnsi="宋体" w:cs="宋体"/>
          <w:color w:val="auto"/>
          <w:sz w:val="32"/>
          <w:highlight w:val="none"/>
        </w:rPr>
        <w:t>：商务标目录</w:t>
      </w:r>
      <w:bookmarkEnd w:id="1052"/>
    </w:p>
    <w:bookmarkEnd w:id="1053"/>
    <w:bookmarkEnd w:id="1054"/>
    <w:p w14:paraId="303C857A">
      <w:pPr>
        <w:spacing w:line="440" w:lineRule="exact"/>
        <w:ind w:firstLine="420" w:firstLineChars="200"/>
        <w:jc w:val="left"/>
        <w:rPr>
          <w:rFonts w:hint="eastAsia" w:ascii="宋体" w:hAnsi="宋体" w:cs="宋体"/>
          <w:i/>
          <w:iCs/>
          <w:color w:val="auto"/>
          <w:szCs w:val="21"/>
          <w:highlight w:val="none"/>
        </w:rPr>
      </w:pPr>
      <w:r>
        <w:rPr>
          <w:rFonts w:hint="eastAsia" w:ascii="宋体" w:hAnsi="宋体" w:cs="宋体"/>
          <w:color w:val="auto"/>
          <w:szCs w:val="21"/>
          <w:highlight w:val="none"/>
        </w:rPr>
        <w:t>（1）投标函；</w:t>
      </w:r>
    </w:p>
    <w:p w14:paraId="1139981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（2）工程量清单报价书；</w:t>
      </w:r>
    </w:p>
    <w:p w14:paraId="1547AD2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（3）招标人推荐的材料品牌响应表（如有）；</w:t>
      </w:r>
    </w:p>
    <w:p w14:paraId="27992A1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（4）商务评审需要及投标人认为需要提供的其他材料。</w:t>
      </w:r>
    </w:p>
    <w:p w14:paraId="651F99BF">
      <w:pPr>
        <w:spacing w:line="540" w:lineRule="exact"/>
        <w:rPr>
          <w:rFonts w:eastAsia="黑体"/>
          <w:color w:val="auto"/>
          <w:sz w:val="20"/>
          <w:szCs w:val="20"/>
          <w:highlight w:val="none"/>
        </w:rPr>
      </w:pPr>
    </w:p>
    <w:p w14:paraId="21B506AA">
      <w:pPr>
        <w:spacing w:line="540" w:lineRule="exact"/>
        <w:rPr>
          <w:rFonts w:eastAsia="黑体"/>
          <w:color w:val="auto"/>
          <w:sz w:val="20"/>
          <w:szCs w:val="20"/>
          <w:highlight w:val="none"/>
        </w:rPr>
      </w:pPr>
    </w:p>
    <w:p w14:paraId="4A98F03F">
      <w:pPr>
        <w:spacing w:line="540" w:lineRule="exact"/>
        <w:rPr>
          <w:rFonts w:eastAsia="黑体"/>
          <w:color w:val="auto"/>
          <w:sz w:val="20"/>
          <w:szCs w:val="20"/>
          <w:highlight w:val="none"/>
        </w:rPr>
      </w:pPr>
    </w:p>
    <w:p w14:paraId="0DED5B9B">
      <w:pPr>
        <w:spacing w:line="360" w:lineRule="auto"/>
        <w:ind w:firstLine="420" w:firstLineChars="200"/>
        <w:jc w:val="right"/>
        <w:rPr>
          <w:color w:val="auto"/>
          <w:szCs w:val="21"/>
          <w:highlight w:val="none"/>
          <w:u w:val="single"/>
        </w:rPr>
      </w:pPr>
    </w:p>
    <w:p w14:paraId="3897F270">
      <w:pPr>
        <w:spacing w:line="360" w:lineRule="auto"/>
        <w:ind w:firstLine="420" w:firstLineChars="200"/>
        <w:jc w:val="right"/>
        <w:rPr>
          <w:color w:val="auto"/>
          <w:szCs w:val="21"/>
          <w:highlight w:val="none"/>
          <w:u w:val="single"/>
        </w:rPr>
      </w:pPr>
    </w:p>
    <w:p w14:paraId="1F20ABA6">
      <w:pPr>
        <w:spacing w:line="360" w:lineRule="auto"/>
        <w:ind w:firstLine="420" w:firstLineChars="200"/>
        <w:jc w:val="right"/>
        <w:rPr>
          <w:color w:val="auto"/>
          <w:szCs w:val="21"/>
          <w:highlight w:val="none"/>
          <w:u w:val="single"/>
        </w:rPr>
      </w:pPr>
    </w:p>
    <w:p w14:paraId="3D22BFF1">
      <w:pPr>
        <w:spacing w:line="360" w:lineRule="auto"/>
        <w:ind w:firstLine="420" w:firstLineChars="200"/>
        <w:jc w:val="right"/>
        <w:rPr>
          <w:color w:val="auto"/>
          <w:szCs w:val="21"/>
          <w:highlight w:val="none"/>
          <w:u w:val="single"/>
        </w:rPr>
      </w:pPr>
    </w:p>
    <w:p w14:paraId="584EDCED">
      <w:pPr>
        <w:spacing w:line="360" w:lineRule="auto"/>
        <w:ind w:firstLine="420" w:firstLineChars="200"/>
        <w:jc w:val="right"/>
        <w:rPr>
          <w:color w:val="auto"/>
          <w:szCs w:val="21"/>
          <w:highlight w:val="none"/>
          <w:u w:val="single"/>
        </w:rPr>
      </w:pPr>
    </w:p>
    <w:p w14:paraId="31668A1D">
      <w:pPr>
        <w:spacing w:line="360" w:lineRule="auto"/>
        <w:ind w:firstLine="420" w:firstLineChars="200"/>
        <w:jc w:val="right"/>
        <w:rPr>
          <w:color w:val="auto"/>
          <w:szCs w:val="21"/>
          <w:highlight w:val="none"/>
          <w:u w:val="single"/>
        </w:rPr>
      </w:pPr>
    </w:p>
    <w:p w14:paraId="54D2B45C">
      <w:pPr>
        <w:spacing w:line="360" w:lineRule="auto"/>
        <w:ind w:firstLine="420" w:firstLineChars="200"/>
        <w:jc w:val="right"/>
        <w:rPr>
          <w:color w:val="auto"/>
          <w:szCs w:val="21"/>
          <w:highlight w:val="none"/>
          <w:u w:val="single"/>
        </w:rPr>
      </w:pPr>
    </w:p>
    <w:p w14:paraId="72F9991D">
      <w:pPr>
        <w:spacing w:line="360" w:lineRule="auto"/>
        <w:ind w:firstLine="420" w:firstLineChars="200"/>
        <w:jc w:val="right"/>
        <w:rPr>
          <w:color w:val="auto"/>
          <w:szCs w:val="21"/>
          <w:highlight w:val="none"/>
          <w:u w:val="single"/>
        </w:rPr>
      </w:pPr>
    </w:p>
    <w:p w14:paraId="2410041C">
      <w:pPr>
        <w:jc w:val="center"/>
        <w:rPr>
          <w:b/>
          <w:color w:val="auto"/>
          <w:sz w:val="32"/>
          <w:szCs w:val="32"/>
          <w:highlight w:val="none"/>
        </w:rPr>
      </w:pPr>
    </w:p>
    <w:p w14:paraId="7F3028DC">
      <w:pPr>
        <w:jc w:val="center"/>
        <w:rPr>
          <w:b/>
          <w:color w:val="auto"/>
          <w:sz w:val="32"/>
          <w:szCs w:val="32"/>
          <w:highlight w:val="none"/>
        </w:rPr>
      </w:pPr>
    </w:p>
    <w:p w14:paraId="31FB4F79">
      <w:pPr>
        <w:jc w:val="center"/>
        <w:rPr>
          <w:b/>
          <w:color w:val="auto"/>
          <w:sz w:val="32"/>
          <w:szCs w:val="32"/>
          <w:highlight w:val="none"/>
        </w:rPr>
      </w:pPr>
    </w:p>
    <w:p w14:paraId="11E0556C">
      <w:pPr>
        <w:jc w:val="center"/>
        <w:rPr>
          <w:b/>
          <w:color w:val="auto"/>
          <w:sz w:val="32"/>
          <w:szCs w:val="32"/>
          <w:highlight w:val="none"/>
        </w:rPr>
      </w:pPr>
    </w:p>
    <w:p w14:paraId="09F4C1ED">
      <w:pPr>
        <w:jc w:val="center"/>
        <w:rPr>
          <w:b/>
          <w:color w:val="auto"/>
          <w:sz w:val="32"/>
          <w:szCs w:val="32"/>
          <w:highlight w:val="none"/>
        </w:rPr>
      </w:pPr>
    </w:p>
    <w:p w14:paraId="514DFFAA">
      <w:pPr>
        <w:jc w:val="center"/>
        <w:rPr>
          <w:b/>
          <w:color w:val="auto"/>
          <w:sz w:val="32"/>
          <w:szCs w:val="32"/>
          <w:highlight w:val="none"/>
        </w:rPr>
      </w:pPr>
    </w:p>
    <w:p w14:paraId="5922CFE9">
      <w:pPr>
        <w:jc w:val="center"/>
        <w:rPr>
          <w:b/>
          <w:color w:val="auto"/>
          <w:sz w:val="32"/>
          <w:szCs w:val="32"/>
          <w:highlight w:val="none"/>
        </w:rPr>
      </w:pPr>
    </w:p>
    <w:p w14:paraId="6D314627">
      <w:pPr>
        <w:spacing w:line="360" w:lineRule="auto"/>
        <w:rPr>
          <w:b/>
          <w:bCs/>
          <w:color w:val="auto"/>
          <w:sz w:val="32"/>
          <w:szCs w:val="32"/>
          <w:highlight w:val="none"/>
        </w:rPr>
      </w:pPr>
    </w:p>
    <w:p w14:paraId="22999E99">
      <w:pPr>
        <w:jc w:val="center"/>
        <w:rPr>
          <w:rFonts w:hint="eastAsia"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220A15E6">
      <w:pPr>
        <w:spacing w:line="460" w:lineRule="exact"/>
        <w:jc w:val="left"/>
        <w:rPr>
          <w:rFonts w:hint="eastAsia" w:ascii="宋体" w:hAnsi="宋体" w:cs="宋体"/>
          <w:color w:val="auto"/>
          <w:highlight w:val="none"/>
        </w:rPr>
      </w:pPr>
      <w:bookmarkStart w:id="1055" w:name="_Toc506107366"/>
      <w:bookmarkStart w:id="1056" w:name="_Toc35424974"/>
      <w:bookmarkStart w:id="1057" w:name="_Toc15058950"/>
      <w:bookmarkStart w:id="1058" w:name="_Toc35425140"/>
      <w:r>
        <w:rPr>
          <w:rFonts w:hint="eastAsia" w:ascii="宋体" w:hAnsi="宋体" w:cs="宋体"/>
          <w:b/>
          <w:bCs/>
          <w:color w:val="auto"/>
          <w:highlight w:val="none"/>
        </w:rPr>
        <w:t>致 ：</w:t>
      </w:r>
      <w:r>
        <w:rPr>
          <w:rFonts w:hint="eastAsia" w:ascii="宋体" w:hAnsi="宋体" w:cs="宋体"/>
          <w:b/>
          <w:bCs/>
          <w:color w:val="auto"/>
          <w:highlight w:val="none"/>
          <w:u w:val="single"/>
        </w:rPr>
        <w:t xml:space="preserve">              （招标人） </w:t>
      </w:r>
      <w:r>
        <w:rPr>
          <w:rFonts w:hint="eastAsia" w:ascii="宋体" w:hAnsi="宋体" w:cs="宋体"/>
          <w:color w:val="auto"/>
          <w:highlight w:val="none"/>
        </w:rPr>
        <w:t xml:space="preserve">  </w:t>
      </w:r>
    </w:p>
    <w:p w14:paraId="54DD94E2">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1、根据你方招标项目编号为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招标文件，遵照《中华人民共和国招标投标法》等有关规定，经踏勘项目现场和研究上述招标文件的投标须知、合同条件、技术规范、图纸、工程量清单和其他有关文件后，我方愿以</w:t>
      </w:r>
      <w:r>
        <w:rPr>
          <w:rFonts w:hint="eastAsia" w:ascii="宋体" w:hAnsi="宋体"/>
          <w:color w:val="auto"/>
          <w:szCs w:val="21"/>
          <w:highlight w:val="none"/>
          <w:u w:val="single"/>
        </w:rPr>
        <w:t xml:space="preserve"> （币种、金额、单位）人民币（大写）        （小写）                元</w:t>
      </w:r>
      <w:r>
        <w:rPr>
          <w:rFonts w:hint="eastAsia" w:ascii="宋体" w:hAnsi="宋体"/>
          <w:color w:val="auto"/>
          <w:szCs w:val="21"/>
          <w:highlight w:val="none"/>
        </w:rPr>
        <w:t>的投标报价承包上述项目，并承担任何质量缺陷保修责任。</w:t>
      </w:r>
    </w:p>
    <w:p w14:paraId="5EBAB0C1">
      <w:pPr>
        <w:numPr>
          <w:ilvl w:val="0"/>
          <w:numId w:val="9"/>
        </w:numPr>
        <w:spacing w:line="440" w:lineRule="exact"/>
        <w:ind w:left="0" w:firstLine="404" w:firstLineChars="200"/>
        <w:jc w:val="left"/>
        <w:rPr>
          <w:rFonts w:hint="eastAsia"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14:paraId="5622E673">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建造师为本项目的项目经理，保证按照招标人要求开始实施本项目，并在</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个日历天（工期）内完成本合同的施工，并移交整个项目，项目质量达到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14:paraId="3FFEC96F">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4、随本投标书，我方同时按照招标文件的要求提交投标保证金。如果我方在本投标书有效期内撤回投标书，或在中标通知书下达后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636D2A49">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5、如果我方中标我方将按照招标文件的规定提交履约担保。项目验收合格后，方可退还。</w:t>
      </w:r>
    </w:p>
    <w:p w14:paraId="06511764">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14:paraId="03AB320A">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635BA3E5">
      <w:pPr>
        <w:spacing w:line="600" w:lineRule="exact"/>
        <w:ind w:firstLine="420" w:firstLineChars="200"/>
        <w:jc w:val="left"/>
        <w:rPr>
          <w:rFonts w:hint="eastAsia" w:ascii="宋体" w:hAnsi="宋体"/>
          <w:color w:val="auto"/>
          <w:szCs w:val="21"/>
          <w:highlight w:val="none"/>
        </w:rPr>
      </w:pPr>
    </w:p>
    <w:p w14:paraId="6E783212">
      <w:pPr>
        <w:spacing w:line="460" w:lineRule="exact"/>
        <w:ind w:firstLine="2310" w:firstLineChars="1100"/>
        <w:jc w:val="left"/>
        <w:rPr>
          <w:rFonts w:hint="eastAsia" w:ascii="宋体" w:hAnsi="宋体" w:cs="宋体"/>
          <w:color w:val="auto"/>
          <w:szCs w:val="21"/>
          <w:highlight w:val="none"/>
        </w:rPr>
      </w:pPr>
    </w:p>
    <w:p w14:paraId="74E0722D">
      <w:pPr>
        <w:spacing w:line="460" w:lineRule="exact"/>
        <w:ind w:firstLine="2310" w:firstLineChars="1100"/>
        <w:jc w:val="left"/>
        <w:rPr>
          <w:rFonts w:hint="eastAsia" w:ascii="宋体" w:hAnsi="宋体" w:cs="宋体"/>
          <w:color w:val="auto"/>
          <w:szCs w:val="21"/>
          <w:highlight w:val="none"/>
          <w:u w:val="singl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（盖章）   </w:t>
      </w:r>
    </w:p>
    <w:p w14:paraId="3355C381">
      <w:pPr>
        <w:spacing w:line="460" w:lineRule="exact"/>
        <w:ind w:firstLine="2310" w:firstLineChars="1100"/>
        <w:jc w:val="left"/>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（签字或盖章）</w:t>
      </w:r>
    </w:p>
    <w:p w14:paraId="25FEF77A">
      <w:pPr>
        <w:spacing w:line="460" w:lineRule="exact"/>
        <w:ind w:firstLine="2310" w:firstLineChars="1100"/>
        <w:jc w:val="left"/>
        <w:rPr>
          <w:rFonts w:hint="eastAsia" w:ascii="宋体" w:hAnsi="宋体" w:cs="宋体"/>
          <w:color w:val="auto"/>
          <w:szCs w:val="21"/>
          <w:highlight w:val="none"/>
        </w:rPr>
      </w:pPr>
      <w:r>
        <w:rPr>
          <w:rFonts w:hint="eastAsia" w:ascii="宋体" w:hAnsi="宋体" w:cs="宋体"/>
          <w:color w:val="auto"/>
          <w:szCs w:val="21"/>
          <w:highlight w:val="none"/>
        </w:rPr>
        <w:t>单位地址：</w:t>
      </w:r>
      <w:r>
        <w:rPr>
          <w:rFonts w:hint="eastAsia" w:ascii="宋体" w:hAnsi="宋体" w:cs="宋体"/>
          <w:color w:val="auto"/>
          <w:szCs w:val="21"/>
          <w:highlight w:val="none"/>
          <w:u w:val="single"/>
        </w:rPr>
        <w:t xml:space="preserve">                                       </w:t>
      </w:r>
    </w:p>
    <w:p w14:paraId="1A9FD37C">
      <w:pPr>
        <w:spacing w:line="460" w:lineRule="exact"/>
        <w:ind w:firstLine="2310" w:firstLineChars="1100"/>
        <w:jc w:val="left"/>
        <w:rPr>
          <w:rFonts w:hint="eastAsia" w:ascii="宋体" w:hAnsi="宋体" w:cs="宋体"/>
          <w:color w:val="auto"/>
          <w:szCs w:val="21"/>
          <w:highlight w:val="none"/>
          <w:u w:val="singl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p>
    <w:p w14:paraId="48008D83">
      <w:pPr>
        <w:spacing w:line="460" w:lineRule="exact"/>
        <w:ind w:firstLine="2310" w:firstLineChars="1100"/>
        <w:jc w:val="left"/>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年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月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FDAE8F9">
      <w:pPr>
        <w:spacing w:line="460" w:lineRule="exact"/>
        <w:ind w:firstLine="2310" w:firstLineChars="1100"/>
        <w:jc w:val="left"/>
        <w:rPr>
          <w:rFonts w:hint="eastAsia" w:ascii="宋体" w:hAnsi="宋体" w:cs="宋体"/>
          <w:color w:val="auto"/>
          <w:szCs w:val="21"/>
          <w:highlight w:val="none"/>
        </w:rPr>
      </w:pPr>
    </w:p>
    <w:p w14:paraId="1BF669D2">
      <w:pPr>
        <w:spacing w:line="460" w:lineRule="exact"/>
        <w:ind w:firstLine="2310" w:firstLineChars="1100"/>
        <w:jc w:val="left"/>
        <w:rPr>
          <w:rFonts w:hint="eastAsia" w:ascii="宋体" w:hAnsi="宋体" w:cs="宋体"/>
          <w:color w:val="auto"/>
          <w:szCs w:val="21"/>
          <w:highlight w:val="none"/>
        </w:rPr>
      </w:pPr>
    </w:p>
    <w:p w14:paraId="03DB51B3">
      <w:pP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br w:type="page"/>
      </w:r>
    </w:p>
    <w:p w14:paraId="76C0D573">
      <w:pPr>
        <w:pStyle w:val="8"/>
        <w:widowControl/>
        <w:adjustRightInd w:val="0"/>
        <w:snapToGrid w:val="0"/>
        <w:spacing w:line="560" w:lineRule="exact"/>
        <w:jc w:val="center"/>
        <w:rPr>
          <w:rFonts w:hint="eastAsia" w:ascii="宋体" w:hAnsi="宋体" w:cs="宋体"/>
          <w:color w:val="auto"/>
          <w:highlight w:val="none"/>
        </w:rPr>
      </w:pPr>
      <w:r>
        <w:rPr>
          <w:rFonts w:hint="eastAsia" w:ascii="宋体" w:hAnsi="宋体" w:cs="宋体"/>
          <w:color w:val="auto"/>
          <w:highlight w:val="none"/>
        </w:rPr>
        <w:t>（</w:t>
      </w:r>
      <w:r>
        <w:rPr>
          <w:color w:val="auto"/>
          <w:highlight w:val="none"/>
        </w:rPr>
        <w:t>2</w:t>
      </w:r>
      <w:r>
        <w:rPr>
          <w:rFonts w:hint="eastAsia" w:ascii="宋体" w:hAnsi="宋体" w:cs="宋体"/>
          <w:color w:val="auto"/>
          <w:highlight w:val="none"/>
        </w:rPr>
        <w:t>）工程量清单报价书</w:t>
      </w:r>
    </w:p>
    <w:p w14:paraId="559B1821">
      <w:pPr>
        <w:adjustRightInd w:val="0"/>
        <w:snapToGrid w:val="0"/>
        <w:spacing w:line="560" w:lineRule="exact"/>
        <w:ind w:firstLine="480" w:firstLineChars="200"/>
        <w:rPr>
          <w:rFonts w:hint="eastAsia" w:ascii="宋体" w:hAnsi="宋体" w:cs="宋体"/>
          <w:bCs/>
          <w:color w:val="auto"/>
          <w:sz w:val="24"/>
          <w:highlight w:val="none"/>
          <w:u w:val="single"/>
        </w:rPr>
      </w:pPr>
      <w:r>
        <w:rPr>
          <w:rFonts w:hint="eastAsia" w:ascii="宋体" w:hAnsi="宋体" w:cs="宋体"/>
          <w:bCs/>
          <w:color w:val="auto"/>
          <w:sz w:val="24"/>
          <w:highlight w:val="none"/>
          <w:u w:val="single"/>
          <w:lang w:bidi="ar"/>
        </w:rPr>
        <w:t>工程量清单报价书格式：见2018版“工程量清单计价文件”格式</w:t>
      </w:r>
    </w:p>
    <w:p w14:paraId="5B34BF7B">
      <w:pPr>
        <w:rPr>
          <w:color w:val="auto"/>
          <w:szCs w:val="21"/>
          <w:highlight w:val="none"/>
        </w:rPr>
      </w:pPr>
      <w:r>
        <w:rPr>
          <w:rFonts w:hint="eastAsia" w:ascii="宋体" w:hAnsi="宋体" w:cs="宋体"/>
          <w:color w:val="auto"/>
          <w:szCs w:val="21"/>
          <w:highlight w:val="none"/>
          <w:lang w:bidi="ar"/>
        </w:rPr>
        <w:t xml:space="preserve"> </w:t>
      </w:r>
      <w:r>
        <w:rPr>
          <w:rFonts w:hint="eastAsia"/>
          <w:color w:val="auto"/>
          <w:szCs w:val="21"/>
          <w:highlight w:val="none"/>
          <w:lang w:bidi="ar"/>
        </w:rPr>
        <w:t xml:space="preserve">  </w:t>
      </w:r>
    </w:p>
    <w:p w14:paraId="3E40A130">
      <w:pPr>
        <w:rPr>
          <w:rFonts w:hint="eastAsia" w:ascii="宋体" w:hAnsi="宋体" w:cs="宋体"/>
          <w:color w:val="auto"/>
          <w:szCs w:val="21"/>
          <w:highlight w:val="none"/>
        </w:rPr>
      </w:pPr>
      <w:r>
        <w:rPr>
          <w:rFonts w:hint="eastAsia" w:ascii="宋体" w:hAnsi="宋体" w:cs="宋体"/>
          <w:color w:val="auto"/>
          <w:szCs w:val="21"/>
          <w:highlight w:val="none"/>
          <w:lang w:bidi="ar"/>
        </w:rPr>
        <w:t xml:space="preserve"> </w:t>
      </w:r>
    </w:p>
    <w:p w14:paraId="23EFDA4B">
      <w:pPr>
        <w:pStyle w:val="8"/>
        <w:adjustRightInd w:val="0"/>
        <w:snapToGrid w:val="0"/>
        <w:spacing w:line="560" w:lineRule="exact"/>
        <w:jc w:val="center"/>
        <w:rPr>
          <w:color w:val="auto"/>
          <w:highlight w:val="none"/>
        </w:rPr>
      </w:pPr>
      <w:r>
        <w:rPr>
          <w:rFonts w:hint="eastAsia" w:ascii="宋体" w:hAnsi="宋体" w:cs="宋体"/>
          <w:color w:val="auto"/>
          <w:highlight w:val="none"/>
        </w:rPr>
        <w:t>（</w:t>
      </w:r>
      <w:r>
        <w:rPr>
          <w:color w:val="auto"/>
          <w:highlight w:val="none"/>
        </w:rPr>
        <w:t>3</w:t>
      </w:r>
      <w:r>
        <w:rPr>
          <w:rFonts w:hint="eastAsia" w:ascii="宋体" w:hAnsi="宋体" w:cs="宋体"/>
          <w:color w:val="auto"/>
          <w:highlight w:val="none"/>
        </w:rPr>
        <w:t>）</w:t>
      </w:r>
      <w:r>
        <w:rPr>
          <w:color w:val="auto"/>
          <w:highlight w:val="none"/>
        </w:rPr>
        <w:t>招标人推荐的材料品牌响应表</w:t>
      </w:r>
    </w:p>
    <w:p w14:paraId="21253560">
      <w:pPr>
        <w:tabs>
          <w:tab w:val="left" w:pos="6462"/>
          <w:tab w:val="left" w:pos="6988"/>
          <w:tab w:val="left" w:pos="7722"/>
        </w:tabs>
        <w:adjustRightInd w:val="0"/>
        <w:snapToGrid w:val="0"/>
        <w:spacing w:line="560" w:lineRule="exact"/>
        <w:jc w:val="center"/>
        <w:rPr>
          <w:color w:val="auto"/>
          <w:highlight w:val="none"/>
        </w:rPr>
      </w:pPr>
      <w:r>
        <w:rPr>
          <w:color w:val="auto"/>
          <w:highlight w:val="none"/>
        </w:rPr>
        <w:t>工程</w:t>
      </w:r>
      <w:r>
        <w:rPr>
          <w:color w:val="auto"/>
          <w:spacing w:val="-3"/>
          <w:highlight w:val="none"/>
        </w:rPr>
        <w:t>名</w:t>
      </w:r>
      <w:r>
        <w:rPr>
          <w:color w:val="auto"/>
          <w:highlight w:val="none"/>
        </w:rPr>
        <w:t>称：</w:t>
      </w:r>
      <w:r>
        <w:rPr>
          <w:rFonts w:hint="eastAsia"/>
          <w:color w:val="auto"/>
          <w:highlight w:val="none"/>
        </w:rPr>
        <w:t xml:space="preserve"> </w:t>
      </w:r>
      <w:r>
        <w:rPr>
          <w:color w:val="auto"/>
          <w:highlight w:val="none"/>
        </w:rPr>
        <w:tab/>
      </w:r>
      <w:r>
        <w:rPr>
          <w:color w:val="auto"/>
          <w:highlight w:val="none"/>
        </w:rPr>
        <w:t>第</w:t>
      </w:r>
      <w:r>
        <w:rPr>
          <w:color w:val="auto"/>
          <w:highlight w:val="none"/>
        </w:rPr>
        <w:tab/>
      </w:r>
      <w:r>
        <w:rPr>
          <w:color w:val="auto"/>
          <w:spacing w:val="-3"/>
          <w:highlight w:val="none"/>
        </w:rPr>
        <w:t>页</w:t>
      </w:r>
      <w:r>
        <w:rPr>
          <w:color w:val="auto"/>
          <w:highlight w:val="none"/>
        </w:rPr>
        <w:t>共</w:t>
      </w:r>
      <w:r>
        <w:rPr>
          <w:color w:val="auto"/>
          <w:highlight w:val="none"/>
        </w:rPr>
        <w:tab/>
      </w:r>
      <w:r>
        <w:rPr>
          <w:color w:val="auto"/>
          <w:highlight w:val="none"/>
        </w:rPr>
        <w:t>页</w:t>
      </w:r>
    </w:p>
    <w:p w14:paraId="2E1E4B1F">
      <w:pPr>
        <w:tabs>
          <w:tab w:val="left" w:pos="6462"/>
          <w:tab w:val="left" w:pos="6988"/>
          <w:tab w:val="left" w:pos="7722"/>
        </w:tabs>
        <w:adjustRightInd w:val="0"/>
        <w:snapToGrid w:val="0"/>
        <w:spacing w:line="560" w:lineRule="exact"/>
        <w:jc w:val="center"/>
        <w:rPr>
          <w:b/>
          <w:color w:val="auto"/>
          <w:sz w:val="28"/>
          <w:highlight w:val="none"/>
        </w:rPr>
      </w:pPr>
      <w:r>
        <w:rPr>
          <w:b/>
          <w:color w:val="auto"/>
          <w:sz w:val="28"/>
          <w:highlight w:val="none"/>
        </w:rPr>
        <w:t>品牌推荐表（如要求）</w:t>
      </w:r>
    </w:p>
    <w:p w14:paraId="07A9B844">
      <w:pPr>
        <w:adjustRightInd w:val="0"/>
        <w:snapToGrid w:val="0"/>
        <w:spacing w:line="560" w:lineRule="exact"/>
        <w:rPr>
          <w:b/>
          <w:color w:val="auto"/>
          <w:sz w:val="5"/>
          <w:highlight w:val="none"/>
        </w:rPr>
      </w:pPr>
    </w:p>
    <w:tbl>
      <w:tblPr>
        <w:tblStyle w:val="47"/>
        <w:tblW w:w="7816" w:type="dxa"/>
        <w:tblInd w:w="9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6"/>
        <w:gridCol w:w="1685"/>
        <w:gridCol w:w="794"/>
        <w:gridCol w:w="794"/>
        <w:gridCol w:w="794"/>
        <w:gridCol w:w="791"/>
        <w:gridCol w:w="635"/>
        <w:gridCol w:w="1687"/>
      </w:tblGrid>
      <w:tr w14:paraId="035B6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636" w:type="dxa"/>
          </w:tcPr>
          <w:p w14:paraId="34195681">
            <w:pPr>
              <w:adjustRightInd w:val="0"/>
              <w:snapToGrid w:val="0"/>
              <w:spacing w:line="560" w:lineRule="exact"/>
              <w:jc w:val="center"/>
              <w:rPr>
                <w:rFonts w:hint="eastAsia" w:ascii="黑体" w:hAnsi="宋体" w:eastAsia="黑体" w:cs="宋体"/>
                <w:color w:val="auto"/>
                <w:highlight w:val="none"/>
                <w:lang w:val="zh-CN" w:bidi="zh-CN"/>
              </w:rPr>
            </w:pPr>
            <w:r>
              <w:rPr>
                <w:rFonts w:hint="eastAsia" w:ascii="黑体" w:hAnsi="宋体" w:eastAsia="黑体" w:cs="宋体"/>
                <w:color w:val="auto"/>
                <w:highlight w:val="none"/>
                <w:lang w:val="zh-CN" w:bidi="zh-CN"/>
              </w:rPr>
              <w:t>序号</w:t>
            </w:r>
          </w:p>
        </w:tc>
        <w:tc>
          <w:tcPr>
            <w:tcW w:w="1685" w:type="dxa"/>
          </w:tcPr>
          <w:p w14:paraId="1415622C">
            <w:pPr>
              <w:adjustRightInd w:val="0"/>
              <w:snapToGrid w:val="0"/>
              <w:spacing w:line="560" w:lineRule="exact"/>
              <w:rPr>
                <w:rFonts w:hint="eastAsia" w:ascii="黑体" w:hAnsi="宋体" w:eastAsia="黑体" w:cs="宋体"/>
                <w:color w:val="auto"/>
                <w:highlight w:val="none"/>
                <w:lang w:val="zh-CN" w:bidi="zh-CN"/>
              </w:rPr>
            </w:pPr>
            <w:r>
              <w:rPr>
                <w:rFonts w:hint="eastAsia" w:ascii="黑体" w:hAnsi="宋体" w:eastAsia="黑体" w:cs="宋体"/>
                <w:color w:val="auto"/>
                <w:highlight w:val="none"/>
                <w:lang w:val="zh-CN" w:bidi="zh-CN"/>
              </w:rPr>
              <w:t>材料、设备名称</w:t>
            </w:r>
          </w:p>
        </w:tc>
        <w:tc>
          <w:tcPr>
            <w:tcW w:w="794" w:type="dxa"/>
          </w:tcPr>
          <w:p w14:paraId="3BF2DC97">
            <w:pPr>
              <w:adjustRightInd w:val="0"/>
              <w:snapToGrid w:val="0"/>
              <w:spacing w:line="560" w:lineRule="exact"/>
              <w:rPr>
                <w:rFonts w:hint="eastAsia" w:ascii="黑体" w:hAnsi="宋体" w:eastAsia="黑体" w:cs="宋体"/>
                <w:color w:val="auto"/>
                <w:highlight w:val="none"/>
                <w:lang w:val="zh-CN" w:bidi="zh-CN"/>
              </w:rPr>
            </w:pPr>
            <w:r>
              <w:rPr>
                <w:rFonts w:hint="eastAsia" w:ascii="黑体" w:hAnsi="宋体" w:eastAsia="黑体" w:cs="宋体"/>
                <w:color w:val="auto"/>
                <w:highlight w:val="none"/>
                <w:lang w:val="zh-CN" w:bidi="zh-CN"/>
              </w:rPr>
              <w:t>品牌 1</w:t>
            </w:r>
          </w:p>
        </w:tc>
        <w:tc>
          <w:tcPr>
            <w:tcW w:w="794" w:type="dxa"/>
          </w:tcPr>
          <w:p w14:paraId="137A6309">
            <w:pPr>
              <w:adjustRightInd w:val="0"/>
              <w:snapToGrid w:val="0"/>
              <w:spacing w:line="560" w:lineRule="exact"/>
              <w:rPr>
                <w:rFonts w:hint="eastAsia" w:ascii="黑体" w:hAnsi="宋体" w:eastAsia="黑体" w:cs="宋体"/>
                <w:color w:val="auto"/>
                <w:highlight w:val="none"/>
                <w:lang w:val="zh-CN" w:bidi="zh-CN"/>
              </w:rPr>
            </w:pPr>
            <w:r>
              <w:rPr>
                <w:rFonts w:hint="eastAsia" w:ascii="黑体" w:hAnsi="宋体" w:eastAsia="黑体" w:cs="宋体"/>
                <w:color w:val="auto"/>
                <w:highlight w:val="none"/>
                <w:lang w:val="zh-CN" w:bidi="zh-CN"/>
              </w:rPr>
              <w:t>品牌 2</w:t>
            </w:r>
          </w:p>
        </w:tc>
        <w:tc>
          <w:tcPr>
            <w:tcW w:w="794" w:type="dxa"/>
          </w:tcPr>
          <w:p w14:paraId="479E7DD3">
            <w:pPr>
              <w:adjustRightInd w:val="0"/>
              <w:snapToGrid w:val="0"/>
              <w:spacing w:line="560" w:lineRule="exact"/>
              <w:rPr>
                <w:rFonts w:hint="eastAsia" w:ascii="黑体" w:hAnsi="宋体" w:eastAsia="黑体" w:cs="宋体"/>
                <w:color w:val="auto"/>
                <w:highlight w:val="none"/>
                <w:lang w:val="zh-CN" w:bidi="zh-CN"/>
              </w:rPr>
            </w:pPr>
            <w:r>
              <w:rPr>
                <w:rFonts w:hint="eastAsia" w:ascii="黑体" w:hAnsi="宋体" w:eastAsia="黑体" w:cs="宋体"/>
                <w:color w:val="auto"/>
                <w:highlight w:val="none"/>
                <w:lang w:val="zh-CN" w:bidi="zh-CN"/>
              </w:rPr>
              <w:t>品牌 3</w:t>
            </w:r>
          </w:p>
        </w:tc>
        <w:tc>
          <w:tcPr>
            <w:tcW w:w="791" w:type="dxa"/>
          </w:tcPr>
          <w:p w14:paraId="7051DFF8">
            <w:pPr>
              <w:adjustRightInd w:val="0"/>
              <w:snapToGrid w:val="0"/>
              <w:spacing w:line="560" w:lineRule="exact"/>
              <w:rPr>
                <w:rFonts w:hint="eastAsia" w:ascii="黑体" w:hAnsi="宋体" w:eastAsia="黑体" w:cs="宋体"/>
                <w:color w:val="auto"/>
                <w:highlight w:val="none"/>
                <w:lang w:val="zh-CN" w:bidi="zh-CN"/>
              </w:rPr>
            </w:pPr>
            <w:r>
              <w:rPr>
                <w:rFonts w:hint="eastAsia" w:ascii="黑体" w:hAnsi="宋体" w:eastAsia="黑体" w:cs="宋体"/>
                <w:color w:val="auto"/>
                <w:highlight w:val="none"/>
                <w:lang w:val="zh-CN" w:bidi="zh-CN"/>
              </w:rPr>
              <w:t>品牌 4</w:t>
            </w:r>
          </w:p>
        </w:tc>
        <w:tc>
          <w:tcPr>
            <w:tcW w:w="635" w:type="dxa"/>
          </w:tcPr>
          <w:p w14:paraId="7BFE073A">
            <w:pPr>
              <w:adjustRightInd w:val="0"/>
              <w:snapToGrid w:val="0"/>
              <w:spacing w:line="560" w:lineRule="exact"/>
              <w:rPr>
                <w:rFonts w:hint="eastAsia" w:ascii="黑体" w:hAnsi="宋体" w:eastAsia="黑体" w:cs="宋体"/>
                <w:color w:val="auto"/>
                <w:highlight w:val="none"/>
                <w:lang w:val="zh-CN" w:bidi="zh-CN"/>
              </w:rPr>
            </w:pPr>
            <w:r>
              <w:rPr>
                <w:rFonts w:hint="eastAsia" w:ascii="黑体" w:hAnsi="宋体" w:eastAsia="黑体" w:cs="宋体"/>
                <w:color w:val="auto"/>
                <w:highlight w:val="none"/>
                <w:lang w:val="zh-CN" w:bidi="zh-CN"/>
              </w:rPr>
              <w:t>备注</w:t>
            </w:r>
          </w:p>
        </w:tc>
        <w:tc>
          <w:tcPr>
            <w:tcW w:w="1687" w:type="dxa"/>
          </w:tcPr>
          <w:p w14:paraId="5B5D3894">
            <w:pPr>
              <w:adjustRightInd w:val="0"/>
              <w:snapToGrid w:val="0"/>
              <w:spacing w:line="560" w:lineRule="exact"/>
              <w:rPr>
                <w:rFonts w:hint="eastAsia" w:ascii="黑体" w:hAnsi="宋体" w:eastAsia="黑体" w:cs="宋体"/>
                <w:color w:val="auto"/>
                <w:highlight w:val="none"/>
                <w:lang w:val="zh-CN" w:bidi="zh-CN"/>
              </w:rPr>
            </w:pPr>
            <w:r>
              <w:rPr>
                <w:rFonts w:hint="eastAsia" w:ascii="黑体" w:hAnsi="宋体" w:eastAsia="黑体" w:cs="宋体"/>
                <w:color w:val="auto"/>
                <w:highlight w:val="none"/>
                <w:lang w:val="zh-CN" w:bidi="zh-CN"/>
              </w:rPr>
              <w:t>投标人选定品牌</w:t>
            </w:r>
          </w:p>
        </w:tc>
      </w:tr>
      <w:tr w14:paraId="1798D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tcPr>
          <w:p w14:paraId="083768B5">
            <w:pPr>
              <w:adjustRightInd w:val="0"/>
              <w:snapToGrid w:val="0"/>
              <w:spacing w:line="560" w:lineRule="exact"/>
              <w:jc w:val="center"/>
              <w:rPr>
                <w:rFonts w:hint="eastAsia" w:ascii="宋体" w:hAnsi="宋体" w:cs="宋体"/>
                <w:color w:val="auto"/>
                <w:highlight w:val="none"/>
                <w:lang w:val="zh-CN" w:bidi="zh-CN"/>
              </w:rPr>
            </w:pPr>
            <w:r>
              <w:rPr>
                <w:rFonts w:ascii="宋体" w:hAnsi="宋体" w:cs="宋体"/>
                <w:color w:val="auto"/>
                <w:highlight w:val="none"/>
                <w:lang w:val="zh-CN" w:bidi="zh-CN"/>
              </w:rPr>
              <w:t>1</w:t>
            </w:r>
          </w:p>
        </w:tc>
        <w:tc>
          <w:tcPr>
            <w:tcW w:w="1685" w:type="dxa"/>
          </w:tcPr>
          <w:p w14:paraId="13F8E0E8">
            <w:pPr>
              <w:adjustRightInd w:val="0"/>
              <w:snapToGrid w:val="0"/>
              <w:spacing w:line="560" w:lineRule="exact"/>
              <w:rPr>
                <w:rFonts w:hint="eastAsia" w:hAnsi="宋体" w:cs="宋体"/>
                <w:color w:val="auto"/>
                <w:sz w:val="20"/>
                <w:highlight w:val="none"/>
                <w:lang w:val="zh-CN" w:bidi="zh-CN"/>
              </w:rPr>
            </w:pPr>
          </w:p>
        </w:tc>
        <w:tc>
          <w:tcPr>
            <w:tcW w:w="794" w:type="dxa"/>
          </w:tcPr>
          <w:p w14:paraId="043DB5BE">
            <w:pPr>
              <w:adjustRightInd w:val="0"/>
              <w:snapToGrid w:val="0"/>
              <w:spacing w:line="560" w:lineRule="exact"/>
              <w:rPr>
                <w:rFonts w:hint="eastAsia" w:hAnsi="宋体" w:cs="宋体"/>
                <w:color w:val="auto"/>
                <w:sz w:val="20"/>
                <w:highlight w:val="none"/>
                <w:lang w:val="zh-CN" w:bidi="zh-CN"/>
              </w:rPr>
            </w:pPr>
          </w:p>
        </w:tc>
        <w:tc>
          <w:tcPr>
            <w:tcW w:w="794" w:type="dxa"/>
          </w:tcPr>
          <w:p w14:paraId="0D6DAA65">
            <w:pPr>
              <w:adjustRightInd w:val="0"/>
              <w:snapToGrid w:val="0"/>
              <w:spacing w:line="560" w:lineRule="exact"/>
              <w:rPr>
                <w:rFonts w:hint="eastAsia" w:hAnsi="宋体" w:cs="宋体"/>
                <w:color w:val="auto"/>
                <w:sz w:val="20"/>
                <w:highlight w:val="none"/>
                <w:lang w:val="zh-CN" w:bidi="zh-CN"/>
              </w:rPr>
            </w:pPr>
          </w:p>
        </w:tc>
        <w:tc>
          <w:tcPr>
            <w:tcW w:w="794" w:type="dxa"/>
          </w:tcPr>
          <w:p w14:paraId="140F380B">
            <w:pPr>
              <w:adjustRightInd w:val="0"/>
              <w:snapToGrid w:val="0"/>
              <w:spacing w:line="560" w:lineRule="exact"/>
              <w:rPr>
                <w:rFonts w:hint="eastAsia" w:hAnsi="宋体" w:cs="宋体"/>
                <w:color w:val="auto"/>
                <w:sz w:val="20"/>
                <w:highlight w:val="none"/>
                <w:lang w:val="zh-CN" w:bidi="zh-CN"/>
              </w:rPr>
            </w:pPr>
          </w:p>
        </w:tc>
        <w:tc>
          <w:tcPr>
            <w:tcW w:w="791" w:type="dxa"/>
          </w:tcPr>
          <w:p w14:paraId="350082A4">
            <w:pPr>
              <w:adjustRightInd w:val="0"/>
              <w:snapToGrid w:val="0"/>
              <w:spacing w:line="560" w:lineRule="exact"/>
              <w:rPr>
                <w:rFonts w:hint="eastAsia" w:hAnsi="宋体" w:cs="宋体"/>
                <w:color w:val="auto"/>
                <w:sz w:val="20"/>
                <w:highlight w:val="none"/>
                <w:lang w:val="zh-CN" w:bidi="zh-CN"/>
              </w:rPr>
            </w:pPr>
          </w:p>
        </w:tc>
        <w:tc>
          <w:tcPr>
            <w:tcW w:w="635" w:type="dxa"/>
          </w:tcPr>
          <w:p w14:paraId="7E0F61A6">
            <w:pPr>
              <w:adjustRightInd w:val="0"/>
              <w:snapToGrid w:val="0"/>
              <w:spacing w:line="560" w:lineRule="exact"/>
              <w:rPr>
                <w:rFonts w:hint="eastAsia" w:hAnsi="宋体" w:cs="宋体"/>
                <w:color w:val="auto"/>
                <w:sz w:val="20"/>
                <w:highlight w:val="none"/>
                <w:lang w:val="zh-CN" w:bidi="zh-CN"/>
              </w:rPr>
            </w:pPr>
          </w:p>
        </w:tc>
        <w:tc>
          <w:tcPr>
            <w:tcW w:w="1687" w:type="dxa"/>
          </w:tcPr>
          <w:p w14:paraId="2D406B0A">
            <w:pPr>
              <w:adjustRightInd w:val="0"/>
              <w:snapToGrid w:val="0"/>
              <w:spacing w:line="560" w:lineRule="exact"/>
              <w:rPr>
                <w:rFonts w:hint="eastAsia" w:hAnsi="宋体" w:cs="宋体"/>
                <w:color w:val="auto"/>
                <w:sz w:val="20"/>
                <w:highlight w:val="none"/>
                <w:lang w:val="zh-CN" w:bidi="zh-CN"/>
              </w:rPr>
            </w:pPr>
          </w:p>
        </w:tc>
      </w:tr>
      <w:tr w14:paraId="4C3C0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tcPr>
          <w:p w14:paraId="2ACBADAD">
            <w:pPr>
              <w:adjustRightInd w:val="0"/>
              <w:snapToGrid w:val="0"/>
              <w:spacing w:line="560" w:lineRule="exact"/>
              <w:jc w:val="center"/>
              <w:rPr>
                <w:rFonts w:hint="eastAsia" w:ascii="宋体" w:hAnsi="宋体" w:cs="宋体"/>
                <w:color w:val="auto"/>
                <w:highlight w:val="none"/>
                <w:lang w:val="zh-CN" w:bidi="zh-CN"/>
              </w:rPr>
            </w:pPr>
            <w:r>
              <w:rPr>
                <w:rFonts w:ascii="宋体" w:hAnsi="宋体" w:cs="宋体"/>
                <w:color w:val="auto"/>
                <w:highlight w:val="none"/>
                <w:lang w:val="zh-CN" w:bidi="zh-CN"/>
              </w:rPr>
              <w:t>2</w:t>
            </w:r>
          </w:p>
        </w:tc>
        <w:tc>
          <w:tcPr>
            <w:tcW w:w="1685" w:type="dxa"/>
          </w:tcPr>
          <w:p w14:paraId="43517AC2">
            <w:pPr>
              <w:adjustRightInd w:val="0"/>
              <w:snapToGrid w:val="0"/>
              <w:spacing w:line="560" w:lineRule="exact"/>
              <w:rPr>
                <w:rFonts w:hint="eastAsia" w:hAnsi="宋体" w:cs="宋体"/>
                <w:color w:val="auto"/>
                <w:sz w:val="20"/>
                <w:highlight w:val="none"/>
                <w:lang w:val="zh-CN" w:bidi="zh-CN"/>
              </w:rPr>
            </w:pPr>
          </w:p>
        </w:tc>
        <w:tc>
          <w:tcPr>
            <w:tcW w:w="794" w:type="dxa"/>
          </w:tcPr>
          <w:p w14:paraId="5760C2D2">
            <w:pPr>
              <w:adjustRightInd w:val="0"/>
              <w:snapToGrid w:val="0"/>
              <w:spacing w:line="560" w:lineRule="exact"/>
              <w:rPr>
                <w:rFonts w:hint="eastAsia" w:hAnsi="宋体" w:cs="宋体"/>
                <w:color w:val="auto"/>
                <w:sz w:val="20"/>
                <w:highlight w:val="none"/>
                <w:lang w:val="zh-CN" w:bidi="zh-CN"/>
              </w:rPr>
            </w:pPr>
          </w:p>
        </w:tc>
        <w:tc>
          <w:tcPr>
            <w:tcW w:w="794" w:type="dxa"/>
          </w:tcPr>
          <w:p w14:paraId="414DD37C">
            <w:pPr>
              <w:adjustRightInd w:val="0"/>
              <w:snapToGrid w:val="0"/>
              <w:spacing w:line="560" w:lineRule="exact"/>
              <w:rPr>
                <w:rFonts w:hint="eastAsia" w:hAnsi="宋体" w:cs="宋体"/>
                <w:color w:val="auto"/>
                <w:sz w:val="20"/>
                <w:highlight w:val="none"/>
                <w:lang w:val="zh-CN" w:bidi="zh-CN"/>
              </w:rPr>
            </w:pPr>
          </w:p>
        </w:tc>
        <w:tc>
          <w:tcPr>
            <w:tcW w:w="794" w:type="dxa"/>
          </w:tcPr>
          <w:p w14:paraId="24B03B48">
            <w:pPr>
              <w:adjustRightInd w:val="0"/>
              <w:snapToGrid w:val="0"/>
              <w:spacing w:line="560" w:lineRule="exact"/>
              <w:rPr>
                <w:rFonts w:hint="eastAsia" w:hAnsi="宋体" w:cs="宋体"/>
                <w:color w:val="auto"/>
                <w:sz w:val="20"/>
                <w:highlight w:val="none"/>
                <w:lang w:val="zh-CN" w:bidi="zh-CN"/>
              </w:rPr>
            </w:pPr>
          </w:p>
        </w:tc>
        <w:tc>
          <w:tcPr>
            <w:tcW w:w="791" w:type="dxa"/>
          </w:tcPr>
          <w:p w14:paraId="33485B8B">
            <w:pPr>
              <w:adjustRightInd w:val="0"/>
              <w:snapToGrid w:val="0"/>
              <w:spacing w:line="560" w:lineRule="exact"/>
              <w:rPr>
                <w:rFonts w:hint="eastAsia" w:hAnsi="宋体" w:cs="宋体"/>
                <w:color w:val="auto"/>
                <w:sz w:val="20"/>
                <w:highlight w:val="none"/>
                <w:lang w:val="zh-CN" w:bidi="zh-CN"/>
              </w:rPr>
            </w:pPr>
          </w:p>
        </w:tc>
        <w:tc>
          <w:tcPr>
            <w:tcW w:w="635" w:type="dxa"/>
          </w:tcPr>
          <w:p w14:paraId="231BA661">
            <w:pPr>
              <w:adjustRightInd w:val="0"/>
              <w:snapToGrid w:val="0"/>
              <w:spacing w:line="560" w:lineRule="exact"/>
              <w:rPr>
                <w:rFonts w:hint="eastAsia" w:hAnsi="宋体" w:cs="宋体"/>
                <w:color w:val="auto"/>
                <w:sz w:val="20"/>
                <w:highlight w:val="none"/>
                <w:lang w:val="zh-CN" w:bidi="zh-CN"/>
              </w:rPr>
            </w:pPr>
          </w:p>
        </w:tc>
        <w:tc>
          <w:tcPr>
            <w:tcW w:w="1687" w:type="dxa"/>
          </w:tcPr>
          <w:p w14:paraId="0EF0005A">
            <w:pPr>
              <w:adjustRightInd w:val="0"/>
              <w:snapToGrid w:val="0"/>
              <w:spacing w:line="560" w:lineRule="exact"/>
              <w:rPr>
                <w:rFonts w:hint="eastAsia" w:hAnsi="宋体" w:cs="宋体"/>
                <w:color w:val="auto"/>
                <w:sz w:val="20"/>
                <w:highlight w:val="none"/>
                <w:lang w:val="zh-CN" w:bidi="zh-CN"/>
              </w:rPr>
            </w:pPr>
          </w:p>
        </w:tc>
      </w:tr>
      <w:tr w14:paraId="38D12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36" w:type="dxa"/>
            <w:tcBorders>
              <w:bottom w:val="single" w:color="000000" w:sz="6" w:space="0"/>
            </w:tcBorders>
          </w:tcPr>
          <w:p w14:paraId="79E2B728">
            <w:pPr>
              <w:adjustRightInd w:val="0"/>
              <w:snapToGrid w:val="0"/>
              <w:spacing w:line="560" w:lineRule="exact"/>
              <w:jc w:val="center"/>
              <w:rPr>
                <w:rFonts w:hint="eastAsia" w:ascii="宋体" w:hAnsi="宋体" w:cs="宋体"/>
                <w:color w:val="auto"/>
                <w:highlight w:val="none"/>
                <w:lang w:val="zh-CN" w:bidi="zh-CN"/>
              </w:rPr>
            </w:pPr>
            <w:r>
              <w:rPr>
                <w:rFonts w:ascii="宋体" w:hAnsi="宋体" w:cs="宋体"/>
                <w:color w:val="auto"/>
                <w:highlight w:val="none"/>
                <w:lang w:val="zh-CN" w:bidi="zh-CN"/>
              </w:rPr>
              <w:t>3</w:t>
            </w:r>
          </w:p>
        </w:tc>
        <w:tc>
          <w:tcPr>
            <w:tcW w:w="1685" w:type="dxa"/>
            <w:tcBorders>
              <w:bottom w:val="single" w:color="000000" w:sz="6" w:space="0"/>
            </w:tcBorders>
          </w:tcPr>
          <w:p w14:paraId="3A5C149E">
            <w:pPr>
              <w:adjustRightInd w:val="0"/>
              <w:snapToGrid w:val="0"/>
              <w:spacing w:line="560" w:lineRule="exact"/>
              <w:rPr>
                <w:rFonts w:hint="eastAsia" w:hAnsi="宋体" w:cs="宋体"/>
                <w:color w:val="auto"/>
                <w:sz w:val="20"/>
                <w:highlight w:val="none"/>
                <w:lang w:val="zh-CN" w:bidi="zh-CN"/>
              </w:rPr>
            </w:pPr>
          </w:p>
        </w:tc>
        <w:tc>
          <w:tcPr>
            <w:tcW w:w="794" w:type="dxa"/>
            <w:tcBorders>
              <w:bottom w:val="single" w:color="000000" w:sz="6" w:space="0"/>
            </w:tcBorders>
          </w:tcPr>
          <w:p w14:paraId="30AC5F6D">
            <w:pPr>
              <w:adjustRightInd w:val="0"/>
              <w:snapToGrid w:val="0"/>
              <w:spacing w:line="560" w:lineRule="exact"/>
              <w:rPr>
                <w:rFonts w:hint="eastAsia" w:hAnsi="宋体" w:cs="宋体"/>
                <w:color w:val="auto"/>
                <w:sz w:val="20"/>
                <w:highlight w:val="none"/>
                <w:lang w:val="zh-CN" w:bidi="zh-CN"/>
              </w:rPr>
            </w:pPr>
          </w:p>
        </w:tc>
        <w:tc>
          <w:tcPr>
            <w:tcW w:w="794" w:type="dxa"/>
            <w:tcBorders>
              <w:bottom w:val="single" w:color="000000" w:sz="6" w:space="0"/>
            </w:tcBorders>
          </w:tcPr>
          <w:p w14:paraId="785FB21C">
            <w:pPr>
              <w:adjustRightInd w:val="0"/>
              <w:snapToGrid w:val="0"/>
              <w:spacing w:line="560" w:lineRule="exact"/>
              <w:rPr>
                <w:rFonts w:hint="eastAsia" w:hAnsi="宋体" w:cs="宋体"/>
                <w:color w:val="auto"/>
                <w:sz w:val="20"/>
                <w:highlight w:val="none"/>
                <w:lang w:val="zh-CN" w:bidi="zh-CN"/>
              </w:rPr>
            </w:pPr>
          </w:p>
        </w:tc>
        <w:tc>
          <w:tcPr>
            <w:tcW w:w="794" w:type="dxa"/>
            <w:tcBorders>
              <w:bottom w:val="single" w:color="000000" w:sz="6" w:space="0"/>
            </w:tcBorders>
          </w:tcPr>
          <w:p w14:paraId="0B0B1B57">
            <w:pPr>
              <w:adjustRightInd w:val="0"/>
              <w:snapToGrid w:val="0"/>
              <w:spacing w:line="560" w:lineRule="exact"/>
              <w:rPr>
                <w:rFonts w:hint="eastAsia" w:hAnsi="宋体" w:cs="宋体"/>
                <w:color w:val="auto"/>
                <w:sz w:val="20"/>
                <w:highlight w:val="none"/>
                <w:lang w:val="zh-CN" w:bidi="zh-CN"/>
              </w:rPr>
            </w:pPr>
          </w:p>
        </w:tc>
        <w:tc>
          <w:tcPr>
            <w:tcW w:w="791" w:type="dxa"/>
            <w:tcBorders>
              <w:bottom w:val="single" w:color="000000" w:sz="6" w:space="0"/>
            </w:tcBorders>
          </w:tcPr>
          <w:p w14:paraId="6A96C0CB">
            <w:pPr>
              <w:adjustRightInd w:val="0"/>
              <w:snapToGrid w:val="0"/>
              <w:spacing w:line="560" w:lineRule="exact"/>
              <w:rPr>
                <w:rFonts w:hint="eastAsia" w:hAnsi="宋体" w:cs="宋体"/>
                <w:color w:val="auto"/>
                <w:sz w:val="20"/>
                <w:highlight w:val="none"/>
                <w:lang w:val="zh-CN" w:bidi="zh-CN"/>
              </w:rPr>
            </w:pPr>
          </w:p>
        </w:tc>
        <w:tc>
          <w:tcPr>
            <w:tcW w:w="635" w:type="dxa"/>
            <w:tcBorders>
              <w:bottom w:val="single" w:color="000000" w:sz="6" w:space="0"/>
            </w:tcBorders>
          </w:tcPr>
          <w:p w14:paraId="67BA5087">
            <w:pPr>
              <w:adjustRightInd w:val="0"/>
              <w:snapToGrid w:val="0"/>
              <w:spacing w:line="560" w:lineRule="exact"/>
              <w:rPr>
                <w:rFonts w:hint="eastAsia" w:hAnsi="宋体" w:cs="宋体"/>
                <w:color w:val="auto"/>
                <w:sz w:val="20"/>
                <w:highlight w:val="none"/>
                <w:lang w:val="zh-CN" w:bidi="zh-CN"/>
              </w:rPr>
            </w:pPr>
          </w:p>
        </w:tc>
        <w:tc>
          <w:tcPr>
            <w:tcW w:w="1687" w:type="dxa"/>
            <w:tcBorders>
              <w:bottom w:val="single" w:color="000000" w:sz="6" w:space="0"/>
            </w:tcBorders>
          </w:tcPr>
          <w:p w14:paraId="399FAF04">
            <w:pPr>
              <w:adjustRightInd w:val="0"/>
              <w:snapToGrid w:val="0"/>
              <w:spacing w:line="560" w:lineRule="exact"/>
              <w:rPr>
                <w:rFonts w:hint="eastAsia" w:hAnsi="宋体" w:cs="宋体"/>
                <w:color w:val="auto"/>
                <w:sz w:val="20"/>
                <w:highlight w:val="none"/>
                <w:lang w:val="zh-CN" w:bidi="zh-CN"/>
              </w:rPr>
            </w:pPr>
          </w:p>
        </w:tc>
      </w:tr>
      <w:tr w14:paraId="16555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36" w:type="dxa"/>
            <w:tcBorders>
              <w:top w:val="single" w:color="000000" w:sz="6" w:space="0"/>
            </w:tcBorders>
          </w:tcPr>
          <w:p w14:paraId="58384E1A">
            <w:pPr>
              <w:adjustRightInd w:val="0"/>
              <w:snapToGrid w:val="0"/>
              <w:spacing w:line="560" w:lineRule="exact"/>
              <w:jc w:val="center"/>
              <w:rPr>
                <w:rFonts w:hint="eastAsia" w:ascii="宋体" w:hAnsi="宋体" w:cs="宋体"/>
                <w:color w:val="auto"/>
                <w:highlight w:val="none"/>
                <w:lang w:val="zh-CN" w:bidi="zh-CN"/>
              </w:rPr>
            </w:pPr>
            <w:r>
              <w:rPr>
                <w:rFonts w:ascii="宋体" w:hAnsi="宋体" w:cs="宋体"/>
                <w:color w:val="auto"/>
                <w:highlight w:val="none"/>
                <w:lang w:val="zh-CN" w:bidi="zh-CN"/>
              </w:rPr>
              <w:t>4</w:t>
            </w:r>
          </w:p>
        </w:tc>
        <w:tc>
          <w:tcPr>
            <w:tcW w:w="1685" w:type="dxa"/>
            <w:tcBorders>
              <w:top w:val="single" w:color="000000" w:sz="6" w:space="0"/>
            </w:tcBorders>
          </w:tcPr>
          <w:p w14:paraId="2AA583EF">
            <w:pPr>
              <w:adjustRightInd w:val="0"/>
              <w:snapToGrid w:val="0"/>
              <w:spacing w:line="560" w:lineRule="exact"/>
              <w:rPr>
                <w:rFonts w:hint="eastAsia" w:hAnsi="宋体" w:cs="宋体"/>
                <w:color w:val="auto"/>
                <w:sz w:val="20"/>
                <w:highlight w:val="none"/>
                <w:lang w:val="zh-CN" w:bidi="zh-CN"/>
              </w:rPr>
            </w:pPr>
          </w:p>
        </w:tc>
        <w:tc>
          <w:tcPr>
            <w:tcW w:w="794" w:type="dxa"/>
            <w:tcBorders>
              <w:top w:val="single" w:color="000000" w:sz="6" w:space="0"/>
            </w:tcBorders>
          </w:tcPr>
          <w:p w14:paraId="3F4140FE">
            <w:pPr>
              <w:adjustRightInd w:val="0"/>
              <w:snapToGrid w:val="0"/>
              <w:spacing w:line="560" w:lineRule="exact"/>
              <w:rPr>
                <w:rFonts w:hint="eastAsia" w:hAnsi="宋体" w:cs="宋体"/>
                <w:color w:val="auto"/>
                <w:sz w:val="20"/>
                <w:highlight w:val="none"/>
                <w:lang w:val="zh-CN" w:bidi="zh-CN"/>
              </w:rPr>
            </w:pPr>
          </w:p>
        </w:tc>
        <w:tc>
          <w:tcPr>
            <w:tcW w:w="794" w:type="dxa"/>
            <w:tcBorders>
              <w:top w:val="single" w:color="000000" w:sz="6" w:space="0"/>
            </w:tcBorders>
          </w:tcPr>
          <w:p w14:paraId="6215516B">
            <w:pPr>
              <w:adjustRightInd w:val="0"/>
              <w:snapToGrid w:val="0"/>
              <w:spacing w:line="560" w:lineRule="exact"/>
              <w:rPr>
                <w:rFonts w:hint="eastAsia" w:hAnsi="宋体" w:cs="宋体"/>
                <w:color w:val="auto"/>
                <w:sz w:val="20"/>
                <w:highlight w:val="none"/>
                <w:lang w:val="zh-CN" w:bidi="zh-CN"/>
              </w:rPr>
            </w:pPr>
          </w:p>
        </w:tc>
        <w:tc>
          <w:tcPr>
            <w:tcW w:w="794" w:type="dxa"/>
            <w:tcBorders>
              <w:top w:val="single" w:color="000000" w:sz="6" w:space="0"/>
            </w:tcBorders>
          </w:tcPr>
          <w:p w14:paraId="2C571A78">
            <w:pPr>
              <w:adjustRightInd w:val="0"/>
              <w:snapToGrid w:val="0"/>
              <w:spacing w:line="560" w:lineRule="exact"/>
              <w:rPr>
                <w:rFonts w:hint="eastAsia" w:hAnsi="宋体" w:cs="宋体"/>
                <w:color w:val="auto"/>
                <w:sz w:val="20"/>
                <w:highlight w:val="none"/>
                <w:lang w:val="zh-CN" w:bidi="zh-CN"/>
              </w:rPr>
            </w:pPr>
          </w:p>
        </w:tc>
        <w:tc>
          <w:tcPr>
            <w:tcW w:w="791" w:type="dxa"/>
            <w:tcBorders>
              <w:top w:val="single" w:color="000000" w:sz="6" w:space="0"/>
            </w:tcBorders>
          </w:tcPr>
          <w:p w14:paraId="16B0E091">
            <w:pPr>
              <w:adjustRightInd w:val="0"/>
              <w:snapToGrid w:val="0"/>
              <w:spacing w:line="560" w:lineRule="exact"/>
              <w:rPr>
                <w:rFonts w:hint="eastAsia" w:hAnsi="宋体" w:cs="宋体"/>
                <w:color w:val="auto"/>
                <w:sz w:val="20"/>
                <w:highlight w:val="none"/>
                <w:lang w:val="zh-CN" w:bidi="zh-CN"/>
              </w:rPr>
            </w:pPr>
          </w:p>
        </w:tc>
        <w:tc>
          <w:tcPr>
            <w:tcW w:w="635" w:type="dxa"/>
            <w:tcBorders>
              <w:top w:val="single" w:color="000000" w:sz="6" w:space="0"/>
            </w:tcBorders>
          </w:tcPr>
          <w:p w14:paraId="506F1BFC">
            <w:pPr>
              <w:adjustRightInd w:val="0"/>
              <w:snapToGrid w:val="0"/>
              <w:spacing w:line="560" w:lineRule="exact"/>
              <w:rPr>
                <w:rFonts w:hint="eastAsia" w:hAnsi="宋体" w:cs="宋体"/>
                <w:color w:val="auto"/>
                <w:sz w:val="20"/>
                <w:highlight w:val="none"/>
                <w:lang w:val="zh-CN" w:bidi="zh-CN"/>
              </w:rPr>
            </w:pPr>
          </w:p>
        </w:tc>
        <w:tc>
          <w:tcPr>
            <w:tcW w:w="1687" w:type="dxa"/>
            <w:tcBorders>
              <w:top w:val="single" w:color="000000" w:sz="6" w:space="0"/>
            </w:tcBorders>
          </w:tcPr>
          <w:p w14:paraId="4D15D949">
            <w:pPr>
              <w:adjustRightInd w:val="0"/>
              <w:snapToGrid w:val="0"/>
              <w:spacing w:line="560" w:lineRule="exact"/>
              <w:rPr>
                <w:rFonts w:hint="eastAsia" w:hAnsi="宋体" w:cs="宋体"/>
                <w:color w:val="auto"/>
                <w:sz w:val="20"/>
                <w:highlight w:val="none"/>
                <w:lang w:val="zh-CN" w:bidi="zh-CN"/>
              </w:rPr>
            </w:pPr>
          </w:p>
        </w:tc>
      </w:tr>
      <w:tr w14:paraId="036FE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tcPr>
          <w:p w14:paraId="48110569">
            <w:pPr>
              <w:adjustRightInd w:val="0"/>
              <w:snapToGrid w:val="0"/>
              <w:spacing w:line="560" w:lineRule="exact"/>
              <w:jc w:val="center"/>
              <w:rPr>
                <w:rFonts w:hint="eastAsia" w:ascii="宋体" w:hAnsi="宋体" w:cs="宋体"/>
                <w:color w:val="auto"/>
                <w:highlight w:val="none"/>
                <w:lang w:val="zh-CN" w:bidi="zh-CN"/>
              </w:rPr>
            </w:pPr>
            <w:r>
              <w:rPr>
                <w:rFonts w:ascii="宋体" w:hAnsi="宋体" w:cs="宋体"/>
                <w:color w:val="auto"/>
                <w:highlight w:val="none"/>
                <w:lang w:val="zh-CN" w:bidi="zh-CN"/>
              </w:rPr>
              <w:t>5</w:t>
            </w:r>
          </w:p>
        </w:tc>
        <w:tc>
          <w:tcPr>
            <w:tcW w:w="1685" w:type="dxa"/>
          </w:tcPr>
          <w:p w14:paraId="6D1A4677">
            <w:pPr>
              <w:adjustRightInd w:val="0"/>
              <w:snapToGrid w:val="0"/>
              <w:spacing w:line="560" w:lineRule="exact"/>
              <w:rPr>
                <w:rFonts w:hint="eastAsia" w:hAnsi="宋体" w:cs="宋体"/>
                <w:color w:val="auto"/>
                <w:sz w:val="20"/>
                <w:highlight w:val="none"/>
                <w:lang w:val="zh-CN" w:bidi="zh-CN"/>
              </w:rPr>
            </w:pPr>
          </w:p>
        </w:tc>
        <w:tc>
          <w:tcPr>
            <w:tcW w:w="794" w:type="dxa"/>
          </w:tcPr>
          <w:p w14:paraId="1D3E3224">
            <w:pPr>
              <w:adjustRightInd w:val="0"/>
              <w:snapToGrid w:val="0"/>
              <w:spacing w:line="560" w:lineRule="exact"/>
              <w:rPr>
                <w:rFonts w:hint="eastAsia" w:hAnsi="宋体" w:cs="宋体"/>
                <w:color w:val="auto"/>
                <w:sz w:val="20"/>
                <w:highlight w:val="none"/>
                <w:lang w:val="zh-CN" w:bidi="zh-CN"/>
              </w:rPr>
            </w:pPr>
          </w:p>
        </w:tc>
        <w:tc>
          <w:tcPr>
            <w:tcW w:w="794" w:type="dxa"/>
          </w:tcPr>
          <w:p w14:paraId="4AA26239">
            <w:pPr>
              <w:adjustRightInd w:val="0"/>
              <w:snapToGrid w:val="0"/>
              <w:spacing w:line="560" w:lineRule="exact"/>
              <w:rPr>
                <w:rFonts w:hint="eastAsia" w:hAnsi="宋体" w:cs="宋体"/>
                <w:color w:val="auto"/>
                <w:sz w:val="20"/>
                <w:highlight w:val="none"/>
                <w:lang w:val="zh-CN" w:bidi="zh-CN"/>
              </w:rPr>
            </w:pPr>
          </w:p>
        </w:tc>
        <w:tc>
          <w:tcPr>
            <w:tcW w:w="794" w:type="dxa"/>
          </w:tcPr>
          <w:p w14:paraId="5BDE73A1">
            <w:pPr>
              <w:adjustRightInd w:val="0"/>
              <w:snapToGrid w:val="0"/>
              <w:spacing w:line="560" w:lineRule="exact"/>
              <w:rPr>
                <w:rFonts w:hint="eastAsia" w:hAnsi="宋体" w:cs="宋体"/>
                <w:color w:val="auto"/>
                <w:sz w:val="20"/>
                <w:highlight w:val="none"/>
                <w:lang w:val="zh-CN" w:bidi="zh-CN"/>
              </w:rPr>
            </w:pPr>
          </w:p>
        </w:tc>
        <w:tc>
          <w:tcPr>
            <w:tcW w:w="791" w:type="dxa"/>
          </w:tcPr>
          <w:p w14:paraId="5B3EC3FF">
            <w:pPr>
              <w:adjustRightInd w:val="0"/>
              <w:snapToGrid w:val="0"/>
              <w:spacing w:line="560" w:lineRule="exact"/>
              <w:rPr>
                <w:rFonts w:hint="eastAsia" w:hAnsi="宋体" w:cs="宋体"/>
                <w:color w:val="auto"/>
                <w:sz w:val="20"/>
                <w:highlight w:val="none"/>
                <w:lang w:val="zh-CN" w:bidi="zh-CN"/>
              </w:rPr>
            </w:pPr>
          </w:p>
        </w:tc>
        <w:tc>
          <w:tcPr>
            <w:tcW w:w="635" w:type="dxa"/>
          </w:tcPr>
          <w:p w14:paraId="6261A4B9">
            <w:pPr>
              <w:adjustRightInd w:val="0"/>
              <w:snapToGrid w:val="0"/>
              <w:spacing w:line="560" w:lineRule="exact"/>
              <w:rPr>
                <w:rFonts w:hint="eastAsia" w:hAnsi="宋体" w:cs="宋体"/>
                <w:color w:val="auto"/>
                <w:sz w:val="20"/>
                <w:highlight w:val="none"/>
                <w:lang w:val="zh-CN" w:bidi="zh-CN"/>
              </w:rPr>
            </w:pPr>
          </w:p>
        </w:tc>
        <w:tc>
          <w:tcPr>
            <w:tcW w:w="1687" w:type="dxa"/>
          </w:tcPr>
          <w:p w14:paraId="42E1A901">
            <w:pPr>
              <w:adjustRightInd w:val="0"/>
              <w:snapToGrid w:val="0"/>
              <w:spacing w:line="560" w:lineRule="exact"/>
              <w:rPr>
                <w:rFonts w:hint="eastAsia" w:hAnsi="宋体" w:cs="宋体"/>
                <w:color w:val="auto"/>
                <w:sz w:val="20"/>
                <w:highlight w:val="none"/>
                <w:lang w:val="zh-CN" w:bidi="zh-CN"/>
              </w:rPr>
            </w:pPr>
          </w:p>
        </w:tc>
      </w:tr>
      <w:tr w14:paraId="4140F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tcPr>
          <w:p w14:paraId="310D9647">
            <w:pPr>
              <w:adjustRightInd w:val="0"/>
              <w:snapToGrid w:val="0"/>
              <w:spacing w:line="560" w:lineRule="exact"/>
              <w:jc w:val="center"/>
              <w:rPr>
                <w:rFonts w:hint="eastAsia" w:ascii="宋体" w:hAnsi="宋体" w:cs="宋体"/>
                <w:color w:val="auto"/>
                <w:highlight w:val="none"/>
                <w:lang w:val="zh-CN" w:bidi="zh-CN"/>
              </w:rPr>
            </w:pPr>
            <w:r>
              <w:rPr>
                <w:rFonts w:ascii="宋体" w:hAnsi="宋体" w:cs="宋体"/>
                <w:color w:val="auto"/>
                <w:highlight w:val="none"/>
                <w:lang w:val="zh-CN" w:bidi="zh-CN"/>
              </w:rPr>
              <w:t>6</w:t>
            </w:r>
          </w:p>
        </w:tc>
        <w:tc>
          <w:tcPr>
            <w:tcW w:w="1685" w:type="dxa"/>
          </w:tcPr>
          <w:p w14:paraId="5FBA42B4">
            <w:pPr>
              <w:adjustRightInd w:val="0"/>
              <w:snapToGrid w:val="0"/>
              <w:spacing w:line="560" w:lineRule="exact"/>
              <w:rPr>
                <w:rFonts w:hint="eastAsia" w:hAnsi="宋体" w:cs="宋体"/>
                <w:color w:val="auto"/>
                <w:sz w:val="20"/>
                <w:highlight w:val="none"/>
                <w:lang w:val="zh-CN" w:bidi="zh-CN"/>
              </w:rPr>
            </w:pPr>
          </w:p>
        </w:tc>
        <w:tc>
          <w:tcPr>
            <w:tcW w:w="794" w:type="dxa"/>
          </w:tcPr>
          <w:p w14:paraId="58CB2F8B">
            <w:pPr>
              <w:adjustRightInd w:val="0"/>
              <w:snapToGrid w:val="0"/>
              <w:spacing w:line="560" w:lineRule="exact"/>
              <w:rPr>
                <w:rFonts w:hint="eastAsia" w:hAnsi="宋体" w:cs="宋体"/>
                <w:color w:val="auto"/>
                <w:sz w:val="20"/>
                <w:highlight w:val="none"/>
                <w:lang w:val="zh-CN" w:bidi="zh-CN"/>
              </w:rPr>
            </w:pPr>
          </w:p>
        </w:tc>
        <w:tc>
          <w:tcPr>
            <w:tcW w:w="794" w:type="dxa"/>
          </w:tcPr>
          <w:p w14:paraId="12445A22">
            <w:pPr>
              <w:adjustRightInd w:val="0"/>
              <w:snapToGrid w:val="0"/>
              <w:spacing w:line="560" w:lineRule="exact"/>
              <w:rPr>
                <w:rFonts w:hint="eastAsia" w:hAnsi="宋体" w:cs="宋体"/>
                <w:color w:val="auto"/>
                <w:sz w:val="20"/>
                <w:highlight w:val="none"/>
                <w:lang w:val="zh-CN" w:bidi="zh-CN"/>
              </w:rPr>
            </w:pPr>
          </w:p>
        </w:tc>
        <w:tc>
          <w:tcPr>
            <w:tcW w:w="794" w:type="dxa"/>
          </w:tcPr>
          <w:p w14:paraId="3DAEB3C2">
            <w:pPr>
              <w:adjustRightInd w:val="0"/>
              <w:snapToGrid w:val="0"/>
              <w:spacing w:line="560" w:lineRule="exact"/>
              <w:rPr>
                <w:rFonts w:hint="eastAsia" w:hAnsi="宋体" w:cs="宋体"/>
                <w:color w:val="auto"/>
                <w:sz w:val="20"/>
                <w:highlight w:val="none"/>
                <w:lang w:val="zh-CN" w:bidi="zh-CN"/>
              </w:rPr>
            </w:pPr>
          </w:p>
        </w:tc>
        <w:tc>
          <w:tcPr>
            <w:tcW w:w="791" w:type="dxa"/>
          </w:tcPr>
          <w:p w14:paraId="22A16A11">
            <w:pPr>
              <w:adjustRightInd w:val="0"/>
              <w:snapToGrid w:val="0"/>
              <w:spacing w:line="560" w:lineRule="exact"/>
              <w:rPr>
                <w:rFonts w:hint="eastAsia" w:hAnsi="宋体" w:cs="宋体"/>
                <w:color w:val="auto"/>
                <w:sz w:val="20"/>
                <w:highlight w:val="none"/>
                <w:lang w:val="zh-CN" w:bidi="zh-CN"/>
              </w:rPr>
            </w:pPr>
          </w:p>
        </w:tc>
        <w:tc>
          <w:tcPr>
            <w:tcW w:w="635" w:type="dxa"/>
          </w:tcPr>
          <w:p w14:paraId="57575249">
            <w:pPr>
              <w:adjustRightInd w:val="0"/>
              <w:snapToGrid w:val="0"/>
              <w:spacing w:line="560" w:lineRule="exact"/>
              <w:rPr>
                <w:rFonts w:hint="eastAsia" w:hAnsi="宋体" w:cs="宋体"/>
                <w:color w:val="auto"/>
                <w:sz w:val="20"/>
                <w:highlight w:val="none"/>
                <w:lang w:val="zh-CN" w:bidi="zh-CN"/>
              </w:rPr>
            </w:pPr>
          </w:p>
        </w:tc>
        <w:tc>
          <w:tcPr>
            <w:tcW w:w="1687" w:type="dxa"/>
          </w:tcPr>
          <w:p w14:paraId="09915569">
            <w:pPr>
              <w:adjustRightInd w:val="0"/>
              <w:snapToGrid w:val="0"/>
              <w:spacing w:line="560" w:lineRule="exact"/>
              <w:rPr>
                <w:rFonts w:hint="eastAsia" w:hAnsi="宋体" w:cs="宋体"/>
                <w:color w:val="auto"/>
                <w:sz w:val="20"/>
                <w:highlight w:val="none"/>
                <w:lang w:val="zh-CN" w:bidi="zh-CN"/>
              </w:rPr>
            </w:pPr>
          </w:p>
        </w:tc>
      </w:tr>
      <w:tr w14:paraId="777A2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tcPr>
          <w:p w14:paraId="7F3F5AC4">
            <w:pPr>
              <w:adjustRightInd w:val="0"/>
              <w:snapToGrid w:val="0"/>
              <w:spacing w:line="560" w:lineRule="exact"/>
              <w:rPr>
                <w:rFonts w:hint="eastAsia" w:hAnsi="宋体" w:cs="宋体"/>
                <w:color w:val="auto"/>
                <w:sz w:val="20"/>
                <w:highlight w:val="none"/>
                <w:lang w:val="zh-CN" w:bidi="zh-CN"/>
              </w:rPr>
            </w:pPr>
          </w:p>
        </w:tc>
        <w:tc>
          <w:tcPr>
            <w:tcW w:w="1685" w:type="dxa"/>
          </w:tcPr>
          <w:p w14:paraId="01728265">
            <w:pPr>
              <w:adjustRightInd w:val="0"/>
              <w:snapToGrid w:val="0"/>
              <w:spacing w:line="560" w:lineRule="exact"/>
              <w:rPr>
                <w:rFonts w:hint="eastAsia" w:hAnsi="宋体" w:cs="宋体"/>
                <w:color w:val="auto"/>
                <w:sz w:val="20"/>
                <w:highlight w:val="none"/>
                <w:lang w:val="zh-CN" w:bidi="zh-CN"/>
              </w:rPr>
            </w:pPr>
          </w:p>
        </w:tc>
        <w:tc>
          <w:tcPr>
            <w:tcW w:w="794" w:type="dxa"/>
          </w:tcPr>
          <w:p w14:paraId="63C48C05">
            <w:pPr>
              <w:adjustRightInd w:val="0"/>
              <w:snapToGrid w:val="0"/>
              <w:spacing w:line="560" w:lineRule="exact"/>
              <w:rPr>
                <w:rFonts w:hint="eastAsia" w:hAnsi="宋体" w:cs="宋体"/>
                <w:color w:val="auto"/>
                <w:sz w:val="20"/>
                <w:highlight w:val="none"/>
                <w:lang w:val="zh-CN" w:bidi="zh-CN"/>
              </w:rPr>
            </w:pPr>
          </w:p>
        </w:tc>
        <w:tc>
          <w:tcPr>
            <w:tcW w:w="794" w:type="dxa"/>
          </w:tcPr>
          <w:p w14:paraId="70FE9BBF">
            <w:pPr>
              <w:adjustRightInd w:val="0"/>
              <w:snapToGrid w:val="0"/>
              <w:spacing w:line="560" w:lineRule="exact"/>
              <w:rPr>
                <w:rFonts w:hint="eastAsia" w:hAnsi="宋体" w:cs="宋体"/>
                <w:color w:val="auto"/>
                <w:sz w:val="20"/>
                <w:highlight w:val="none"/>
                <w:lang w:val="zh-CN" w:bidi="zh-CN"/>
              </w:rPr>
            </w:pPr>
          </w:p>
        </w:tc>
        <w:tc>
          <w:tcPr>
            <w:tcW w:w="794" w:type="dxa"/>
          </w:tcPr>
          <w:p w14:paraId="10F35E54">
            <w:pPr>
              <w:adjustRightInd w:val="0"/>
              <w:snapToGrid w:val="0"/>
              <w:spacing w:line="560" w:lineRule="exact"/>
              <w:rPr>
                <w:rFonts w:hint="eastAsia" w:hAnsi="宋体" w:cs="宋体"/>
                <w:color w:val="auto"/>
                <w:sz w:val="20"/>
                <w:highlight w:val="none"/>
                <w:lang w:val="zh-CN" w:bidi="zh-CN"/>
              </w:rPr>
            </w:pPr>
          </w:p>
        </w:tc>
        <w:tc>
          <w:tcPr>
            <w:tcW w:w="791" w:type="dxa"/>
          </w:tcPr>
          <w:p w14:paraId="172A592B">
            <w:pPr>
              <w:adjustRightInd w:val="0"/>
              <w:snapToGrid w:val="0"/>
              <w:spacing w:line="560" w:lineRule="exact"/>
              <w:rPr>
                <w:rFonts w:hint="eastAsia" w:hAnsi="宋体" w:cs="宋体"/>
                <w:color w:val="auto"/>
                <w:sz w:val="20"/>
                <w:highlight w:val="none"/>
                <w:lang w:val="zh-CN" w:bidi="zh-CN"/>
              </w:rPr>
            </w:pPr>
          </w:p>
        </w:tc>
        <w:tc>
          <w:tcPr>
            <w:tcW w:w="635" w:type="dxa"/>
          </w:tcPr>
          <w:p w14:paraId="55EBB5BF">
            <w:pPr>
              <w:adjustRightInd w:val="0"/>
              <w:snapToGrid w:val="0"/>
              <w:spacing w:line="560" w:lineRule="exact"/>
              <w:rPr>
                <w:rFonts w:hint="eastAsia" w:hAnsi="宋体" w:cs="宋体"/>
                <w:color w:val="auto"/>
                <w:sz w:val="20"/>
                <w:highlight w:val="none"/>
                <w:lang w:val="zh-CN" w:bidi="zh-CN"/>
              </w:rPr>
            </w:pPr>
          </w:p>
        </w:tc>
        <w:tc>
          <w:tcPr>
            <w:tcW w:w="1687" w:type="dxa"/>
          </w:tcPr>
          <w:p w14:paraId="08DDC15C">
            <w:pPr>
              <w:adjustRightInd w:val="0"/>
              <w:snapToGrid w:val="0"/>
              <w:spacing w:line="560" w:lineRule="exact"/>
              <w:rPr>
                <w:rFonts w:hint="eastAsia" w:hAnsi="宋体" w:cs="宋体"/>
                <w:color w:val="auto"/>
                <w:sz w:val="20"/>
                <w:highlight w:val="none"/>
                <w:lang w:val="zh-CN" w:bidi="zh-CN"/>
              </w:rPr>
            </w:pPr>
          </w:p>
        </w:tc>
      </w:tr>
      <w:tr w14:paraId="58AFA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tcPr>
          <w:p w14:paraId="36B3DB82">
            <w:pPr>
              <w:adjustRightInd w:val="0"/>
              <w:snapToGrid w:val="0"/>
              <w:spacing w:line="560" w:lineRule="exact"/>
              <w:rPr>
                <w:rFonts w:hint="eastAsia" w:hAnsi="宋体" w:cs="宋体"/>
                <w:color w:val="auto"/>
                <w:sz w:val="20"/>
                <w:highlight w:val="none"/>
                <w:lang w:val="zh-CN" w:bidi="zh-CN"/>
              </w:rPr>
            </w:pPr>
          </w:p>
        </w:tc>
        <w:tc>
          <w:tcPr>
            <w:tcW w:w="1685" w:type="dxa"/>
          </w:tcPr>
          <w:p w14:paraId="563AA719">
            <w:pPr>
              <w:adjustRightInd w:val="0"/>
              <w:snapToGrid w:val="0"/>
              <w:spacing w:line="560" w:lineRule="exact"/>
              <w:rPr>
                <w:rFonts w:hint="eastAsia" w:hAnsi="宋体" w:cs="宋体"/>
                <w:color w:val="auto"/>
                <w:sz w:val="20"/>
                <w:highlight w:val="none"/>
                <w:lang w:val="zh-CN" w:bidi="zh-CN"/>
              </w:rPr>
            </w:pPr>
          </w:p>
        </w:tc>
        <w:tc>
          <w:tcPr>
            <w:tcW w:w="794" w:type="dxa"/>
          </w:tcPr>
          <w:p w14:paraId="6F2A0B9D">
            <w:pPr>
              <w:adjustRightInd w:val="0"/>
              <w:snapToGrid w:val="0"/>
              <w:spacing w:line="560" w:lineRule="exact"/>
              <w:rPr>
                <w:rFonts w:hint="eastAsia" w:hAnsi="宋体" w:cs="宋体"/>
                <w:color w:val="auto"/>
                <w:sz w:val="20"/>
                <w:highlight w:val="none"/>
                <w:lang w:val="zh-CN" w:bidi="zh-CN"/>
              </w:rPr>
            </w:pPr>
          </w:p>
        </w:tc>
        <w:tc>
          <w:tcPr>
            <w:tcW w:w="794" w:type="dxa"/>
          </w:tcPr>
          <w:p w14:paraId="06B684FF">
            <w:pPr>
              <w:adjustRightInd w:val="0"/>
              <w:snapToGrid w:val="0"/>
              <w:spacing w:line="560" w:lineRule="exact"/>
              <w:rPr>
                <w:rFonts w:hint="eastAsia" w:hAnsi="宋体" w:cs="宋体"/>
                <w:color w:val="auto"/>
                <w:sz w:val="20"/>
                <w:highlight w:val="none"/>
                <w:lang w:val="zh-CN" w:bidi="zh-CN"/>
              </w:rPr>
            </w:pPr>
          </w:p>
        </w:tc>
        <w:tc>
          <w:tcPr>
            <w:tcW w:w="794" w:type="dxa"/>
          </w:tcPr>
          <w:p w14:paraId="42054CAE">
            <w:pPr>
              <w:adjustRightInd w:val="0"/>
              <w:snapToGrid w:val="0"/>
              <w:spacing w:line="560" w:lineRule="exact"/>
              <w:rPr>
                <w:rFonts w:hint="eastAsia" w:hAnsi="宋体" w:cs="宋体"/>
                <w:color w:val="auto"/>
                <w:sz w:val="20"/>
                <w:highlight w:val="none"/>
                <w:lang w:val="zh-CN" w:bidi="zh-CN"/>
              </w:rPr>
            </w:pPr>
          </w:p>
        </w:tc>
        <w:tc>
          <w:tcPr>
            <w:tcW w:w="791" w:type="dxa"/>
          </w:tcPr>
          <w:p w14:paraId="418F5A4E">
            <w:pPr>
              <w:adjustRightInd w:val="0"/>
              <w:snapToGrid w:val="0"/>
              <w:spacing w:line="560" w:lineRule="exact"/>
              <w:rPr>
                <w:rFonts w:hint="eastAsia" w:hAnsi="宋体" w:cs="宋体"/>
                <w:color w:val="auto"/>
                <w:sz w:val="20"/>
                <w:highlight w:val="none"/>
                <w:lang w:val="zh-CN" w:bidi="zh-CN"/>
              </w:rPr>
            </w:pPr>
          </w:p>
        </w:tc>
        <w:tc>
          <w:tcPr>
            <w:tcW w:w="635" w:type="dxa"/>
          </w:tcPr>
          <w:p w14:paraId="259BE777">
            <w:pPr>
              <w:adjustRightInd w:val="0"/>
              <w:snapToGrid w:val="0"/>
              <w:spacing w:line="560" w:lineRule="exact"/>
              <w:rPr>
                <w:rFonts w:hint="eastAsia" w:hAnsi="宋体" w:cs="宋体"/>
                <w:color w:val="auto"/>
                <w:sz w:val="20"/>
                <w:highlight w:val="none"/>
                <w:lang w:val="zh-CN" w:bidi="zh-CN"/>
              </w:rPr>
            </w:pPr>
          </w:p>
        </w:tc>
        <w:tc>
          <w:tcPr>
            <w:tcW w:w="1687" w:type="dxa"/>
          </w:tcPr>
          <w:p w14:paraId="3FC5052C">
            <w:pPr>
              <w:adjustRightInd w:val="0"/>
              <w:snapToGrid w:val="0"/>
              <w:spacing w:line="560" w:lineRule="exact"/>
              <w:rPr>
                <w:rFonts w:hint="eastAsia" w:hAnsi="宋体" w:cs="宋体"/>
                <w:color w:val="auto"/>
                <w:sz w:val="20"/>
                <w:highlight w:val="none"/>
                <w:lang w:val="zh-CN" w:bidi="zh-CN"/>
              </w:rPr>
            </w:pPr>
          </w:p>
        </w:tc>
      </w:tr>
      <w:tr w14:paraId="73BD7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tcPr>
          <w:p w14:paraId="18E6B116">
            <w:pPr>
              <w:adjustRightInd w:val="0"/>
              <w:snapToGrid w:val="0"/>
              <w:spacing w:line="560" w:lineRule="exact"/>
              <w:rPr>
                <w:rFonts w:hint="eastAsia" w:hAnsi="宋体" w:cs="宋体"/>
                <w:color w:val="auto"/>
                <w:sz w:val="20"/>
                <w:highlight w:val="none"/>
                <w:lang w:val="zh-CN" w:bidi="zh-CN"/>
              </w:rPr>
            </w:pPr>
          </w:p>
        </w:tc>
        <w:tc>
          <w:tcPr>
            <w:tcW w:w="1685" w:type="dxa"/>
          </w:tcPr>
          <w:p w14:paraId="7CAC198C">
            <w:pPr>
              <w:adjustRightInd w:val="0"/>
              <w:snapToGrid w:val="0"/>
              <w:spacing w:line="560" w:lineRule="exact"/>
              <w:rPr>
                <w:rFonts w:hint="eastAsia" w:hAnsi="宋体" w:cs="宋体"/>
                <w:color w:val="auto"/>
                <w:sz w:val="20"/>
                <w:highlight w:val="none"/>
                <w:lang w:val="zh-CN" w:bidi="zh-CN"/>
              </w:rPr>
            </w:pPr>
          </w:p>
        </w:tc>
        <w:tc>
          <w:tcPr>
            <w:tcW w:w="794" w:type="dxa"/>
          </w:tcPr>
          <w:p w14:paraId="4E565072">
            <w:pPr>
              <w:adjustRightInd w:val="0"/>
              <w:snapToGrid w:val="0"/>
              <w:spacing w:line="560" w:lineRule="exact"/>
              <w:rPr>
                <w:rFonts w:hint="eastAsia" w:hAnsi="宋体" w:cs="宋体"/>
                <w:color w:val="auto"/>
                <w:sz w:val="20"/>
                <w:highlight w:val="none"/>
                <w:lang w:val="zh-CN" w:bidi="zh-CN"/>
              </w:rPr>
            </w:pPr>
          </w:p>
        </w:tc>
        <w:tc>
          <w:tcPr>
            <w:tcW w:w="794" w:type="dxa"/>
          </w:tcPr>
          <w:p w14:paraId="495F32C3">
            <w:pPr>
              <w:adjustRightInd w:val="0"/>
              <w:snapToGrid w:val="0"/>
              <w:spacing w:line="560" w:lineRule="exact"/>
              <w:rPr>
                <w:rFonts w:hint="eastAsia" w:hAnsi="宋体" w:cs="宋体"/>
                <w:color w:val="auto"/>
                <w:sz w:val="20"/>
                <w:highlight w:val="none"/>
                <w:lang w:val="zh-CN" w:bidi="zh-CN"/>
              </w:rPr>
            </w:pPr>
          </w:p>
        </w:tc>
        <w:tc>
          <w:tcPr>
            <w:tcW w:w="794" w:type="dxa"/>
          </w:tcPr>
          <w:p w14:paraId="726709F3">
            <w:pPr>
              <w:adjustRightInd w:val="0"/>
              <w:snapToGrid w:val="0"/>
              <w:spacing w:line="560" w:lineRule="exact"/>
              <w:rPr>
                <w:rFonts w:hint="eastAsia" w:hAnsi="宋体" w:cs="宋体"/>
                <w:color w:val="auto"/>
                <w:sz w:val="20"/>
                <w:highlight w:val="none"/>
                <w:lang w:val="zh-CN" w:bidi="zh-CN"/>
              </w:rPr>
            </w:pPr>
          </w:p>
        </w:tc>
        <w:tc>
          <w:tcPr>
            <w:tcW w:w="791" w:type="dxa"/>
          </w:tcPr>
          <w:p w14:paraId="34E774AD">
            <w:pPr>
              <w:adjustRightInd w:val="0"/>
              <w:snapToGrid w:val="0"/>
              <w:spacing w:line="560" w:lineRule="exact"/>
              <w:rPr>
                <w:rFonts w:hint="eastAsia" w:hAnsi="宋体" w:cs="宋体"/>
                <w:color w:val="auto"/>
                <w:sz w:val="20"/>
                <w:highlight w:val="none"/>
                <w:lang w:val="zh-CN" w:bidi="zh-CN"/>
              </w:rPr>
            </w:pPr>
          </w:p>
        </w:tc>
        <w:tc>
          <w:tcPr>
            <w:tcW w:w="635" w:type="dxa"/>
          </w:tcPr>
          <w:p w14:paraId="7BFCED05">
            <w:pPr>
              <w:adjustRightInd w:val="0"/>
              <w:snapToGrid w:val="0"/>
              <w:spacing w:line="560" w:lineRule="exact"/>
              <w:rPr>
                <w:rFonts w:hint="eastAsia" w:hAnsi="宋体" w:cs="宋体"/>
                <w:color w:val="auto"/>
                <w:sz w:val="20"/>
                <w:highlight w:val="none"/>
                <w:lang w:val="zh-CN" w:bidi="zh-CN"/>
              </w:rPr>
            </w:pPr>
          </w:p>
        </w:tc>
        <w:tc>
          <w:tcPr>
            <w:tcW w:w="1687" w:type="dxa"/>
          </w:tcPr>
          <w:p w14:paraId="2CD19841">
            <w:pPr>
              <w:adjustRightInd w:val="0"/>
              <w:snapToGrid w:val="0"/>
              <w:spacing w:line="560" w:lineRule="exact"/>
              <w:rPr>
                <w:rFonts w:hint="eastAsia" w:hAnsi="宋体" w:cs="宋体"/>
                <w:color w:val="auto"/>
                <w:sz w:val="20"/>
                <w:highlight w:val="none"/>
                <w:lang w:val="zh-CN" w:bidi="zh-CN"/>
              </w:rPr>
            </w:pPr>
          </w:p>
        </w:tc>
      </w:tr>
    </w:tbl>
    <w:p w14:paraId="2136EFF2">
      <w:pPr>
        <w:adjustRightInd w:val="0"/>
        <w:snapToGrid w:val="0"/>
        <w:spacing w:line="560" w:lineRule="exact"/>
        <w:ind w:firstLine="420"/>
        <w:rPr>
          <w:color w:val="auto"/>
          <w:highlight w:val="none"/>
        </w:rPr>
      </w:pPr>
      <w:r>
        <w:rPr>
          <w:color w:val="auto"/>
          <w:highlight w:val="none"/>
        </w:rPr>
        <w:t>注：</w:t>
      </w:r>
      <w:r>
        <w:rPr>
          <w:rFonts w:hint="eastAsia"/>
          <w:color w:val="auto"/>
          <w:highlight w:val="none"/>
        </w:rPr>
        <w:t>1、</w:t>
      </w:r>
      <w:r>
        <w:rPr>
          <w:color w:val="auto"/>
          <w:highlight w:val="none"/>
        </w:rPr>
        <w:t>本表仅针对不采用招标人推荐品牌，采用其他品牌的投标人填写，并注明并提供相关技术参数、业绩等供评标委员会评审，未在上表中注明且未提供相关技术参数、业绩，或经评标委员会评审未通过的，中标后只能从招标人推荐品牌中进行选择，价格不予调整。</w:t>
      </w:r>
    </w:p>
    <w:p w14:paraId="5334035E">
      <w:pPr>
        <w:tabs>
          <w:tab w:val="left" w:pos="1319"/>
        </w:tabs>
        <w:adjustRightInd w:val="0"/>
        <w:snapToGrid w:val="0"/>
        <w:spacing w:line="560" w:lineRule="exact"/>
        <w:ind w:firstLine="408" w:firstLineChars="200"/>
        <w:rPr>
          <w:rFonts w:hint="eastAsia" w:ascii="宋体" w:hAnsi="宋体" w:cs="宋体"/>
          <w:color w:val="auto"/>
          <w:spacing w:val="-3"/>
          <w:highlight w:val="none"/>
          <w:lang w:val="zh-CN" w:bidi="zh-CN"/>
        </w:rPr>
      </w:pPr>
      <w:r>
        <w:rPr>
          <w:rFonts w:hint="eastAsia" w:ascii="宋体" w:hAnsi="宋体" w:cs="宋体"/>
          <w:color w:val="auto"/>
          <w:spacing w:val="-3"/>
          <w:highlight w:val="none"/>
          <w:lang w:val="zh-CN" w:bidi="zh-CN"/>
        </w:rPr>
        <w:t>2、</w:t>
      </w:r>
      <w:r>
        <w:rPr>
          <w:rFonts w:ascii="宋体" w:hAnsi="宋体" w:cs="宋体"/>
          <w:color w:val="auto"/>
          <w:spacing w:val="-3"/>
          <w:highlight w:val="none"/>
          <w:lang w:val="zh-CN" w:bidi="zh-CN"/>
        </w:rPr>
        <w:t>对于招标人推荐品牌的材料、设备等，投标人如认为招标人推荐的品牌有限定性、唯一性、明显不在同一档次等级的或者其他疑问的，应在本项目澄清提出的截止时间前</w:t>
      </w:r>
      <w:r>
        <w:rPr>
          <w:rFonts w:hint="eastAsia" w:ascii="宋体" w:hAnsi="宋体" w:cs="宋体"/>
          <w:color w:val="auto"/>
          <w:spacing w:val="-3"/>
          <w:highlight w:val="none"/>
          <w:lang w:bidi="zh-CN"/>
        </w:rPr>
        <w:t>向招标人提出</w:t>
      </w:r>
      <w:r>
        <w:rPr>
          <w:rFonts w:hint="eastAsia" w:ascii="宋体" w:hAnsi="宋体" w:cs="宋体"/>
          <w:color w:val="auto"/>
          <w:spacing w:val="-3"/>
          <w:highlight w:val="none"/>
          <w:lang w:val="zh-CN" w:bidi="zh-CN"/>
        </w:rPr>
        <w:t>。</w:t>
      </w:r>
    </w:p>
    <w:p w14:paraId="15AC33D9">
      <w:pPr>
        <w:tabs>
          <w:tab w:val="left" w:pos="1319"/>
        </w:tabs>
        <w:adjustRightInd w:val="0"/>
        <w:snapToGrid w:val="0"/>
        <w:spacing w:line="560" w:lineRule="exact"/>
        <w:ind w:firstLine="643" w:firstLineChars="200"/>
        <w:rPr>
          <w:b/>
          <w:bCs/>
          <w:color w:val="auto"/>
          <w:kern w:val="0"/>
          <w:sz w:val="32"/>
          <w:szCs w:val="32"/>
          <w:highlight w:val="none"/>
        </w:rPr>
      </w:pPr>
    </w:p>
    <w:p w14:paraId="4CE9E5A3">
      <w:pPr>
        <w:spacing w:line="460" w:lineRule="exact"/>
        <w:jc w:val="center"/>
        <w:rPr>
          <w:rFonts w:hint="eastAsia" w:ascii="宋体" w:hAnsi="宋体" w:cs="宋体"/>
          <w:color w:val="auto"/>
          <w:szCs w:val="21"/>
          <w:highlight w:val="none"/>
        </w:rPr>
      </w:pPr>
      <w:r>
        <w:rPr>
          <w:rFonts w:hint="eastAsia"/>
          <w:b/>
          <w:bCs/>
          <w:color w:val="auto"/>
          <w:kern w:val="0"/>
          <w:sz w:val="32"/>
          <w:szCs w:val="32"/>
          <w:highlight w:val="none"/>
        </w:rPr>
        <w:t>（4）</w:t>
      </w:r>
      <w:r>
        <w:rPr>
          <w:rFonts w:hint="eastAsia" w:ascii="宋体" w:hAnsi="宋体" w:cs="宋体"/>
          <w:b/>
          <w:bCs/>
          <w:color w:val="auto"/>
          <w:kern w:val="0"/>
          <w:sz w:val="32"/>
          <w:szCs w:val="32"/>
          <w:highlight w:val="none"/>
        </w:rPr>
        <w:t>详细评审所需其他材料（如有）</w:t>
      </w:r>
    </w:p>
    <w:p w14:paraId="5B3E7BA7">
      <w:pPr>
        <w:pStyle w:val="44"/>
        <w:spacing w:before="156" w:beforeLines="50" w:after="156" w:afterLines="50" w:line="440" w:lineRule="exact"/>
        <w:rPr>
          <w:rFonts w:hint="eastAsia" w:ascii="仿宋_GB2312" w:hAnsi="宋体" w:eastAsia="仿宋_GB2312"/>
          <w:color w:val="auto"/>
          <w:szCs w:val="32"/>
          <w:highlight w:val="none"/>
        </w:rPr>
      </w:pPr>
      <w:r>
        <w:rPr>
          <w:rFonts w:hint="eastAsia"/>
          <w:color w:val="auto"/>
          <w:szCs w:val="32"/>
          <w:highlight w:val="none"/>
        </w:rPr>
        <w:br w:type="page"/>
      </w:r>
      <w:bookmarkEnd w:id="7"/>
      <w:bookmarkEnd w:id="8"/>
      <w:bookmarkEnd w:id="9"/>
      <w:bookmarkEnd w:id="10"/>
      <w:bookmarkEnd w:id="11"/>
      <w:bookmarkEnd w:id="1055"/>
      <w:bookmarkEnd w:id="1056"/>
      <w:bookmarkEnd w:id="1057"/>
      <w:bookmarkEnd w:id="1058"/>
      <w:bookmarkStart w:id="1059" w:name="_Toc78803402"/>
    </w:p>
    <w:p w14:paraId="5DB4742A">
      <w:pPr>
        <w:pStyle w:val="44"/>
        <w:spacing w:before="156" w:beforeLines="50" w:after="156" w:afterLines="50" w:line="440" w:lineRule="exact"/>
        <w:rPr>
          <w:bCs/>
          <w:color w:val="auto"/>
          <w:szCs w:val="32"/>
          <w:highlight w:val="none"/>
        </w:rPr>
      </w:pPr>
      <w:bookmarkStart w:id="1060" w:name="_Toc29114"/>
      <w:bookmarkStart w:id="1061" w:name="_Toc15593"/>
      <w:r>
        <w:rPr>
          <w:rFonts w:hint="eastAsia"/>
          <w:bCs/>
          <w:color w:val="auto"/>
          <w:szCs w:val="32"/>
          <w:highlight w:val="none"/>
        </w:rPr>
        <w:t>第八章  招标单位、招标代理机构对本招标文件的确认</w:t>
      </w:r>
      <w:bookmarkEnd w:id="1059"/>
      <w:bookmarkEnd w:id="1060"/>
      <w:bookmarkEnd w:id="1061"/>
    </w:p>
    <w:p w14:paraId="7040474D">
      <w:pPr>
        <w:pStyle w:val="20"/>
        <w:rPr>
          <w:color w:val="auto"/>
          <w:highlight w:val="none"/>
        </w:rPr>
      </w:pPr>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45D50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37319524">
            <w:pPr>
              <w:wordWrap w:val="0"/>
              <w:adjustRightInd w:val="0"/>
              <w:snapToGrid w:val="0"/>
              <w:spacing w:line="560" w:lineRule="exact"/>
              <w:rPr>
                <w:color w:val="auto"/>
                <w:sz w:val="30"/>
                <w:highlight w:val="none"/>
              </w:rPr>
            </w:pPr>
          </w:p>
          <w:p w14:paraId="0EFBFD74">
            <w:pPr>
              <w:spacing w:line="560" w:lineRule="exact"/>
              <w:ind w:firstLine="560" w:firstLineChars="200"/>
              <w:rPr>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兴全矿业办公生活区室外配电管线工程 </w:t>
            </w:r>
            <w:r>
              <w:rPr>
                <w:rFonts w:hint="eastAsia"/>
                <w:color w:val="auto"/>
                <w:sz w:val="28"/>
                <w:szCs w:val="28"/>
                <w:highlight w:val="none"/>
              </w:rPr>
              <w:t>的招标文件进行确认。</w:t>
            </w:r>
          </w:p>
          <w:p w14:paraId="4870AE92">
            <w:pPr>
              <w:spacing w:line="56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 xml:space="preserve">招标人：滁州市兴全矿业投资有限公司  </w:t>
            </w:r>
          </w:p>
          <w:p w14:paraId="371BCBEF">
            <w:pPr>
              <w:spacing w:line="56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 xml:space="preserve">联 系 人：杨富健 </w:t>
            </w:r>
          </w:p>
          <w:p w14:paraId="23CD0D20">
            <w:pPr>
              <w:spacing w:line="56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联系电话：18255049167</w:t>
            </w:r>
          </w:p>
          <w:p w14:paraId="26986F99">
            <w:pPr>
              <w:wordWrap w:val="0"/>
              <w:spacing w:line="56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 xml:space="preserve">        </w:t>
            </w:r>
          </w:p>
          <w:p w14:paraId="2111CAEA">
            <w:pPr>
              <w:wordWrap w:val="0"/>
              <w:spacing w:line="560" w:lineRule="exact"/>
              <w:ind w:firstLine="560" w:firstLineChars="200"/>
              <w:rPr>
                <w:rFonts w:hint="eastAsia" w:ascii="宋体" w:hAnsi="宋体"/>
                <w:color w:val="auto"/>
                <w:sz w:val="28"/>
                <w:szCs w:val="28"/>
                <w:highlight w:val="none"/>
              </w:rPr>
            </w:pPr>
          </w:p>
          <w:p w14:paraId="6C9507CF">
            <w:pPr>
              <w:wordWrap w:val="0"/>
              <w:spacing w:line="560" w:lineRule="exact"/>
              <w:ind w:firstLine="560" w:firstLineChars="200"/>
              <w:rPr>
                <w:rFonts w:hint="eastAsia" w:ascii="宋体" w:hAnsi="宋体"/>
                <w:color w:val="auto"/>
                <w:sz w:val="28"/>
                <w:szCs w:val="28"/>
                <w:highlight w:val="none"/>
              </w:rPr>
            </w:pPr>
          </w:p>
          <w:p w14:paraId="38F35BA3">
            <w:pPr>
              <w:wordWrap w:val="0"/>
              <w:spacing w:line="560" w:lineRule="exact"/>
              <w:ind w:firstLine="5740" w:firstLineChars="2050"/>
              <w:rPr>
                <w:rFonts w:hint="eastAsia" w:ascii="宋体" w:hAnsi="宋体"/>
                <w:color w:val="auto"/>
                <w:sz w:val="28"/>
                <w:szCs w:val="28"/>
                <w:highlight w:val="none"/>
              </w:rPr>
            </w:pPr>
            <w:r>
              <w:rPr>
                <w:rFonts w:hint="eastAsia" w:ascii="宋体" w:hAnsi="宋体"/>
                <w:color w:val="auto"/>
                <w:sz w:val="28"/>
                <w:szCs w:val="28"/>
                <w:highlight w:val="none"/>
              </w:rPr>
              <w:t>（单位盖章）</w:t>
            </w:r>
          </w:p>
          <w:p w14:paraId="18E670E5">
            <w:pPr>
              <w:spacing w:line="560" w:lineRule="exact"/>
              <w:ind w:firstLine="5880" w:firstLineChars="2100"/>
              <w:rPr>
                <w:rFonts w:hint="eastAsia" w:ascii="宋体" w:hAnsi="宋体"/>
                <w:color w:val="auto"/>
                <w:sz w:val="28"/>
                <w:szCs w:val="28"/>
                <w:highlight w:val="none"/>
              </w:rPr>
            </w:pPr>
            <w:r>
              <w:rPr>
                <w:rFonts w:hint="eastAsia" w:ascii="宋体" w:hAnsi="宋体"/>
                <w:color w:val="auto"/>
                <w:sz w:val="28"/>
                <w:szCs w:val="28"/>
                <w:highlight w:val="none"/>
              </w:rPr>
              <w:t>2024年</w:t>
            </w:r>
            <w:r>
              <w:rPr>
                <w:rFonts w:hint="eastAsia" w:ascii="宋体" w:hAnsi="宋体"/>
                <w:color w:val="auto"/>
                <w:sz w:val="28"/>
                <w:szCs w:val="28"/>
                <w:highlight w:val="none"/>
                <w:lang w:val="en-US" w:eastAsia="zh-CN"/>
              </w:rPr>
              <w:t>9</w:t>
            </w:r>
            <w:r>
              <w:rPr>
                <w:rFonts w:hint="eastAsia" w:ascii="宋体" w:hAnsi="宋体"/>
                <w:color w:val="auto"/>
                <w:sz w:val="28"/>
                <w:szCs w:val="28"/>
                <w:highlight w:val="none"/>
              </w:rPr>
              <w:t>月</w:t>
            </w:r>
          </w:p>
          <w:p w14:paraId="3214C94F">
            <w:pPr>
              <w:pStyle w:val="2"/>
              <w:ind w:firstLine="420"/>
              <w:rPr>
                <w:color w:val="auto"/>
                <w:highlight w:val="none"/>
              </w:rPr>
            </w:pPr>
          </w:p>
        </w:tc>
      </w:tr>
      <w:tr w14:paraId="022A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32E56C4D">
            <w:pPr>
              <w:spacing w:line="560" w:lineRule="exact"/>
              <w:ind w:firstLine="560" w:firstLineChars="200"/>
              <w:rPr>
                <w:rFonts w:hint="eastAsia" w:ascii="宋体" w:hAnsi="宋体" w:cs="宋体"/>
                <w:color w:val="auto"/>
                <w:sz w:val="28"/>
                <w:szCs w:val="28"/>
                <w:highlight w:val="none"/>
              </w:rPr>
            </w:pPr>
          </w:p>
          <w:p w14:paraId="6EF4528B">
            <w:pPr>
              <w:spacing w:line="560" w:lineRule="exact"/>
              <w:ind w:firstLine="560" w:firstLineChars="20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5AEC4267">
            <w:pPr>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联 系 人：胡国庆</w:t>
            </w:r>
          </w:p>
          <w:p w14:paraId="3A0AB8DF">
            <w:pPr>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联系方式：0550-3519517、18005500950</w:t>
            </w:r>
          </w:p>
          <w:p w14:paraId="22599B53">
            <w:pPr>
              <w:spacing w:line="560" w:lineRule="exact"/>
              <w:ind w:firstLine="5040" w:firstLineChars="1800"/>
              <w:rPr>
                <w:rFonts w:hint="eastAsia" w:ascii="宋体" w:hAnsi="宋体" w:cs="宋体"/>
                <w:color w:val="auto"/>
                <w:sz w:val="28"/>
                <w:szCs w:val="28"/>
                <w:highlight w:val="none"/>
              </w:rPr>
            </w:pPr>
          </w:p>
          <w:p w14:paraId="5C6C7A92">
            <w:pPr>
              <w:spacing w:line="560" w:lineRule="exact"/>
              <w:ind w:firstLine="5460" w:firstLineChars="1950"/>
              <w:rPr>
                <w:rFonts w:hint="eastAsia" w:ascii="宋体" w:hAnsi="宋体" w:cs="宋体"/>
                <w:color w:val="auto"/>
                <w:sz w:val="28"/>
                <w:szCs w:val="28"/>
                <w:highlight w:val="none"/>
              </w:rPr>
            </w:pPr>
          </w:p>
          <w:p w14:paraId="378D57CE">
            <w:pPr>
              <w:spacing w:line="560" w:lineRule="exact"/>
              <w:ind w:firstLine="5880" w:firstLineChars="2100"/>
              <w:rPr>
                <w:rFonts w:hint="eastAsia" w:ascii="宋体" w:hAnsi="宋体" w:cs="宋体"/>
                <w:color w:val="auto"/>
                <w:sz w:val="28"/>
                <w:szCs w:val="28"/>
                <w:highlight w:val="none"/>
              </w:rPr>
            </w:pPr>
            <w:r>
              <w:rPr>
                <w:rFonts w:hint="eastAsia" w:ascii="宋体" w:hAnsi="宋体" w:cs="宋体"/>
                <w:color w:val="auto"/>
                <w:sz w:val="28"/>
                <w:szCs w:val="28"/>
                <w:highlight w:val="none"/>
              </w:rPr>
              <w:t>（单位盖章）</w:t>
            </w:r>
          </w:p>
          <w:p w14:paraId="1551054F">
            <w:pPr>
              <w:spacing w:line="560" w:lineRule="exact"/>
              <w:ind w:firstLine="6020" w:firstLineChars="2150"/>
              <w:rPr>
                <w:rFonts w:hint="eastAsia" w:ascii="宋体" w:hAnsi="宋体"/>
                <w:color w:val="auto"/>
                <w:sz w:val="28"/>
                <w:szCs w:val="28"/>
                <w:highlight w:val="none"/>
              </w:rPr>
            </w:pPr>
            <w:r>
              <w:rPr>
                <w:rFonts w:hint="eastAsia" w:ascii="宋体" w:hAnsi="宋体"/>
                <w:color w:val="auto"/>
                <w:sz w:val="28"/>
                <w:szCs w:val="28"/>
                <w:highlight w:val="none"/>
              </w:rPr>
              <w:t>2024年</w:t>
            </w:r>
            <w:r>
              <w:rPr>
                <w:rFonts w:hint="eastAsia" w:ascii="宋体" w:hAnsi="宋体"/>
                <w:color w:val="auto"/>
                <w:sz w:val="28"/>
                <w:szCs w:val="28"/>
                <w:highlight w:val="none"/>
                <w:lang w:val="en-US" w:eastAsia="zh-CN"/>
              </w:rPr>
              <w:t>9</w:t>
            </w:r>
            <w:r>
              <w:rPr>
                <w:rFonts w:hint="eastAsia" w:ascii="宋体" w:hAnsi="宋体"/>
                <w:color w:val="auto"/>
                <w:sz w:val="28"/>
                <w:szCs w:val="28"/>
                <w:highlight w:val="none"/>
              </w:rPr>
              <w:t>月</w:t>
            </w:r>
          </w:p>
          <w:p w14:paraId="328C001B">
            <w:pPr>
              <w:pStyle w:val="2"/>
              <w:ind w:firstLine="420"/>
              <w:rPr>
                <w:color w:val="auto"/>
                <w:highlight w:val="none"/>
              </w:rPr>
            </w:pPr>
          </w:p>
        </w:tc>
      </w:tr>
    </w:tbl>
    <w:p w14:paraId="563F4B13">
      <w:pPr>
        <w:rPr>
          <w:color w:val="auto"/>
          <w:highlight w:val="none"/>
        </w:rPr>
      </w:pPr>
    </w:p>
    <w:sectPr>
      <w:headerReference r:id="rId7" w:type="default"/>
      <w:footerReference r:id="rId8" w:type="default"/>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19DBB">
    <w:pPr>
      <w:pStyle w:val="30"/>
      <w:rPr>
        <w:rStyle w:val="51"/>
      </w:rPr>
    </w:pPr>
  </w:p>
  <w:p w14:paraId="06E53ECF">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110B3">
    <w:pPr>
      <w:pStyle w:val="30"/>
      <w:rPr>
        <w:rStyle w:val="51"/>
      </w:rPr>
    </w:pPr>
  </w:p>
  <w:p w14:paraId="4C64BF4C">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4BAF3">
    <w:pPr>
      <w:pStyle w:val="30"/>
      <w:rPr>
        <w:rStyle w:val="5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538C6">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B8538C6">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6A24FBB6">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16E7">
    <w:pPr>
      <w:pStyle w:val="30"/>
      <w:rPr>
        <w:rStyle w:val="51"/>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A5C28">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29A5C28">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604C9645">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6809A">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376B">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0B1C5"/>
    <w:multiLevelType w:val="singleLevel"/>
    <w:tmpl w:val="84E0B1C5"/>
    <w:lvl w:ilvl="0" w:tentative="0">
      <w:start w:val="1"/>
      <w:numFmt w:val="decimal"/>
      <w:suff w:val="space"/>
      <w:lvlText w:val="（%1）"/>
      <w:lvlJc w:val="left"/>
    </w:lvl>
  </w:abstractNum>
  <w:abstractNum w:abstractNumId="1">
    <w:nsid w:val="BFD0D545"/>
    <w:multiLevelType w:val="singleLevel"/>
    <w:tmpl w:val="BFD0D545"/>
    <w:lvl w:ilvl="0" w:tentative="0">
      <w:start w:val="3"/>
      <w:numFmt w:val="decimal"/>
      <w:suff w:val="nothing"/>
      <w:lvlText w:val="（%1）"/>
      <w:lvlJc w:val="left"/>
    </w:lvl>
  </w:abstractNum>
  <w:abstractNum w:abstractNumId="2">
    <w:nsid w:val="D5B19CE4"/>
    <w:multiLevelType w:val="singleLevel"/>
    <w:tmpl w:val="D5B19CE4"/>
    <w:lvl w:ilvl="0" w:tentative="0">
      <w:start w:val="1"/>
      <w:numFmt w:val="decimal"/>
      <w:suff w:val="nothing"/>
      <w:lvlText w:val="（%1）"/>
      <w:lvlJc w:val="left"/>
    </w:lvl>
  </w:abstractNum>
  <w:abstractNum w:abstractNumId="3">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52B3C79"/>
    <w:multiLevelType w:val="singleLevel"/>
    <w:tmpl w:val="152B3C79"/>
    <w:lvl w:ilvl="0" w:tentative="0">
      <w:start w:val="1"/>
      <w:numFmt w:val="decimal"/>
      <w:suff w:val="nothing"/>
      <w:lvlText w:val="（%1）"/>
      <w:lvlJc w:val="left"/>
    </w:lvl>
  </w:abstractNum>
  <w:abstractNum w:abstractNumId="5">
    <w:nsid w:val="1E80E6C8"/>
    <w:multiLevelType w:val="singleLevel"/>
    <w:tmpl w:val="1E80E6C8"/>
    <w:lvl w:ilvl="0" w:tentative="0">
      <w:start w:val="3"/>
      <w:numFmt w:val="chineseCounting"/>
      <w:suff w:val="space"/>
      <w:lvlText w:val="第%1章"/>
      <w:lvlJc w:val="left"/>
      <w:rPr>
        <w:rFonts w:hint="eastAsia"/>
      </w:rPr>
    </w:lvl>
  </w:abstractNum>
  <w:abstractNum w:abstractNumId="6">
    <w:nsid w:val="2CFC1AFD"/>
    <w:multiLevelType w:val="singleLevel"/>
    <w:tmpl w:val="2CFC1AFD"/>
    <w:lvl w:ilvl="0" w:tentative="0">
      <w:start w:val="5"/>
      <w:numFmt w:val="chineseCounting"/>
      <w:suff w:val="space"/>
      <w:lvlText w:val="第%1章"/>
      <w:lvlJc w:val="left"/>
      <w:rPr>
        <w:rFonts w:hint="eastAsia"/>
      </w:rPr>
    </w:lvl>
  </w:abstractNum>
  <w:abstractNum w:abstractNumId="7">
    <w:nsid w:val="45A1E0C6"/>
    <w:multiLevelType w:val="singleLevel"/>
    <w:tmpl w:val="45A1E0C6"/>
    <w:lvl w:ilvl="0" w:tentative="0">
      <w:start w:val="10"/>
      <w:numFmt w:val="decimal"/>
      <w:suff w:val="nothing"/>
      <w:lvlText w:val="（%1）"/>
      <w:lvlJc w:val="left"/>
      <w:pPr>
        <w:tabs>
          <w:tab w:val="left" w:pos="0"/>
        </w:tabs>
        <w:ind w:left="0" w:firstLine="0"/>
      </w:pPr>
    </w:lvl>
  </w:abstractNum>
  <w:abstractNum w:abstractNumId="8">
    <w:nsid w:val="6FBF3256"/>
    <w:multiLevelType w:val="multilevel"/>
    <w:tmpl w:val="6FBF3256"/>
    <w:lvl w:ilvl="0" w:tentative="0">
      <w:start w:val="1"/>
      <w:numFmt w:val="japaneseCounting"/>
      <w:lvlText w:val="（%1）"/>
      <w:lvlJc w:val="left"/>
      <w:pPr>
        <w:ind w:left="900"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5"/>
  </w:num>
  <w:num w:numId="4">
    <w:abstractNumId w:val="8"/>
  </w:num>
  <w:num w:numId="5">
    <w:abstractNumId w:val="7"/>
  </w:num>
  <w:num w:numId="6">
    <w:abstractNumId w:val="0"/>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Y5ZDNjMmE2ZDcxYTFkMDY0Zjg5Mjg3YTE0YTg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0A55"/>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3A3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A79C4"/>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5E46"/>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3843"/>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C7854"/>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44A19"/>
    <w:rsid w:val="00947A71"/>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83B"/>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3C5F"/>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5A1"/>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178F0"/>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554D5"/>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1A96"/>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542AFA"/>
    <w:rsid w:val="015E6630"/>
    <w:rsid w:val="016C75C7"/>
    <w:rsid w:val="018D524F"/>
    <w:rsid w:val="019036D8"/>
    <w:rsid w:val="01A01767"/>
    <w:rsid w:val="01A66FAC"/>
    <w:rsid w:val="01BD4FDC"/>
    <w:rsid w:val="01C42B8B"/>
    <w:rsid w:val="01CE3A0A"/>
    <w:rsid w:val="01E941AE"/>
    <w:rsid w:val="01ED256A"/>
    <w:rsid w:val="01FE504C"/>
    <w:rsid w:val="021A6C4F"/>
    <w:rsid w:val="02201D8C"/>
    <w:rsid w:val="0221105C"/>
    <w:rsid w:val="02240E71"/>
    <w:rsid w:val="022F6268"/>
    <w:rsid w:val="0230144B"/>
    <w:rsid w:val="023E2A8F"/>
    <w:rsid w:val="023F01AC"/>
    <w:rsid w:val="02497F02"/>
    <w:rsid w:val="02533F0F"/>
    <w:rsid w:val="025C7268"/>
    <w:rsid w:val="025D37A6"/>
    <w:rsid w:val="02630A21"/>
    <w:rsid w:val="027520D7"/>
    <w:rsid w:val="028265A2"/>
    <w:rsid w:val="02910656"/>
    <w:rsid w:val="029452C8"/>
    <w:rsid w:val="0299330C"/>
    <w:rsid w:val="029C2053"/>
    <w:rsid w:val="029E3E12"/>
    <w:rsid w:val="02AE2F1E"/>
    <w:rsid w:val="02B07476"/>
    <w:rsid w:val="02B12263"/>
    <w:rsid w:val="02B34262"/>
    <w:rsid w:val="02BA6D6B"/>
    <w:rsid w:val="02BC6761"/>
    <w:rsid w:val="02C30781"/>
    <w:rsid w:val="02C32A89"/>
    <w:rsid w:val="02D74766"/>
    <w:rsid w:val="02EB23C8"/>
    <w:rsid w:val="02ED4254"/>
    <w:rsid w:val="02F54A67"/>
    <w:rsid w:val="02FB586B"/>
    <w:rsid w:val="032764F6"/>
    <w:rsid w:val="032C124E"/>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D0D24"/>
    <w:rsid w:val="04CF0F22"/>
    <w:rsid w:val="04D7542D"/>
    <w:rsid w:val="04DD163F"/>
    <w:rsid w:val="04DE2019"/>
    <w:rsid w:val="04E452F2"/>
    <w:rsid w:val="04E82F5F"/>
    <w:rsid w:val="05084E1A"/>
    <w:rsid w:val="0536624A"/>
    <w:rsid w:val="05476ED2"/>
    <w:rsid w:val="05507187"/>
    <w:rsid w:val="05547F50"/>
    <w:rsid w:val="05586D81"/>
    <w:rsid w:val="055909BC"/>
    <w:rsid w:val="056775E0"/>
    <w:rsid w:val="05812096"/>
    <w:rsid w:val="05962A91"/>
    <w:rsid w:val="05A174D0"/>
    <w:rsid w:val="05A31C11"/>
    <w:rsid w:val="05A54A82"/>
    <w:rsid w:val="05B15E1B"/>
    <w:rsid w:val="05B6570E"/>
    <w:rsid w:val="05B719DB"/>
    <w:rsid w:val="05C8568A"/>
    <w:rsid w:val="05D411B5"/>
    <w:rsid w:val="05DC03BC"/>
    <w:rsid w:val="05E03755"/>
    <w:rsid w:val="05E05D39"/>
    <w:rsid w:val="05EE025B"/>
    <w:rsid w:val="05FB2E46"/>
    <w:rsid w:val="06274DE9"/>
    <w:rsid w:val="0643158D"/>
    <w:rsid w:val="0652465D"/>
    <w:rsid w:val="06606ACF"/>
    <w:rsid w:val="06632C8A"/>
    <w:rsid w:val="066C44D0"/>
    <w:rsid w:val="066F0F2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F7F68"/>
    <w:rsid w:val="07433326"/>
    <w:rsid w:val="074D1200"/>
    <w:rsid w:val="075C1AB8"/>
    <w:rsid w:val="07701435"/>
    <w:rsid w:val="078057A6"/>
    <w:rsid w:val="0791006E"/>
    <w:rsid w:val="07A93817"/>
    <w:rsid w:val="07AA51F7"/>
    <w:rsid w:val="07C16E32"/>
    <w:rsid w:val="07C956F1"/>
    <w:rsid w:val="07CA07CF"/>
    <w:rsid w:val="07D12851"/>
    <w:rsid w:val="07DE071F"/>
    <w:rsid w:val="07E724F1"/>
    <w:rsid w:val="07F54B10"/>
    <w:rsid w:val="080D2DB2"/>
    <w:rsid w:val="08236132"/>
    <w:rsid w:val="0824157E"/>
    <w:rsid w:val="082A5712"/>
    <w:rsid w:val="08365D8B"/>
    <w:rsid w:val="083932FD"/>
    <w:rsid w:val="083C1D74"/>
    <w:rsid w:val="08442529"/>
    <w:rsid w:val="08664D5B"/>
    <w:rsid w:val="087338E5"/>
    <w:rsid w:val="087E552F"/>
    <w:rsid w:val="08935065"/>
    <w:rsid w:val="08994E2C"/>
    <w:rsid w:val="089E0248"/>
    <w:rsid w:val="08AA7F40"/>
    <w:rsid w:val="08AC09F8"/>
    <w:rsid w:val="08AF1C74"/>
    <w:rsid w:val="08B76FB8"/>
    <w:rsid w:val="08BB3B09"/>
    <w:rsid w:val="08EC3C9C"/>
    <w:rsid w:val="08EF4818"/>
    <w:rsid w:val="08F26284"/>
    <w:rsid w:val="08F57B11"/>
    <w:rsid w:val="08F617F2"/>
    <w:rsid w:val="08F64252"/>
    <w:rsid w:val="08F94C8C"/>
    <w:rsid w:val="08FD0C7A"/>
    <w:rsid w:val="09024D21"/>
    <w:rsid w:val="09027DBF"/>
    <w:rsid w:val="090F109A"/>
    <w:rsid w:val="09151314"/>
    <w:rsid w:val="09263609"/>
    <w:rsid w:val="092E2FE0"/>
    <w:rsid w:val="093E5BC8"/>
    <w:rsid w:val="0953633D"/>
    <w:rsid w:val="095867F9"/>
    <w:rsid w:val="096659B3"/>
    <w:rsid w:val="09697733"/>
    <w:rsid w:val="097D56DC"/>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D53C26"/>
    <w:rsid w:val="0ADD3B4A"/>
    <w:rsid w:val="0AEE775A"/>
    <w:rsid w:val="0AFF5154"/>
    <w:rsid w:val="0B0260FA"/>
    <w:rsid w:val="0B127FA5"/>
    <w:rsid w:val="0B187C06"/>
    <w:rsid w:val="0B424B21"/>
    <w:rsid w:val="0B462863"/>
    <w:rsid w:val="0B4B3360"/>
    <w:rsid w:val="0B6153F6"/>
    <w:rsid w:val="0B6C4BE2"/>
    <w:rsid w:val="0B832C7E"/>
    <w:rsid w:val="0B895D1E"/>
    <w:rsid w:val="0B903157"/>
    <w:rsid w:val="0B9335CE"/>
    <w:rsid w:val="0BA653BF"/>
    <w:rsid w:val="0BAC6F99"/>
    <w:rsid w:val="0BCD1EAC"/>
    <w:rsid w:val="0BCF142C"/>
    <w:rsid w:val="0BDC319A"/>
    <w:rsid w:val="0BFB783E"/>
    <w:rsid w:val="0BFD5373"/>
    <w:rsid w:val="0BFD6481"/>
    <w:rsid w:val="0C0F0CD9"/>
    <w:rsid w:val="0C34344E"/>
    <w:rsid w:val="0C631998"/>
    <w:rsid w:val="0C6821F6"/>
    <w:rsid w:val="0C990787"/>
    <w:rsid w:val="0C992D4F"/>
    <w:rsid w:val="0CAE3A50"/>
    <w:rsid w:val="0CBF15FF"/>
    <w:rsid w:val="0CC20F4F"/>
    <w:rsid w:val="0CD90540"/>
    <w:rsid w:val="0CD91857"/>
    <w:rsid w:val="0CDA4E4E"/>
    <w:rsid w:val="0CF258A4"/>
    <w:rsid w:val="0D212A41"/>
    <w:rsid w:val="0D214045"/>
    <w:rsid w:val="0D215F2C"/>
    <w:rsid w:val="0D314FE6"/>
    <w:rsid w:val="0D330BC5"/>
    <w:rsid w:val="0D540C02"/>
    <w:rsid w:val="0D571C0F"/>
    <w:rsid w:val="0D5F19BA"/>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36E8B"/>
    <w:rsid w:val="0E2A41ED"/>
    <w:rsid w:val="0E30302E"/>
    <w:rsid w:val="0E351EED"/>
    <w:rsid w:val="0E397874"/>
    <w:rsid w:val="0E43752E"/>
    <w:rsid w:val="0E461B92"/>
    <w:rsid w:val="0E6059EA"/>
    <w:rsid w:val="0E632208"/>
    <w:rsid w:val="0E6574A4"/>
    <w:rsid w:val="0E844468"/>
    <w:rsid w:val="0E910299"/>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C41BDA"/>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5C0FEB"/>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457F1"/>
    <w:rsid w:val="116A7E05"/>
    <w:rsid w:val="11722460"/>
    <w:rsid w:val="117A4F14"/>
    <w:rsid w:val="119D6F55"/>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04237"/>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477178"/>
    <w:rsid w:val="13597FDE"/>
    <w:rsid w:val="13610A7C"/>
    <w:rsid w:val="1370511E"/>
    <w:rsid w:val="138A2CF3"/>
    <w:rsid w:val="139600FA"/>
    <w:rsid w:val="139B1B3C"/>
    <w:rsid w:val="13AC7923"/>
    <w:rsid w:val="13BB36C2"/>
    <w:rsid w:val="13C163E4"/>
    <w:rsid w:val="13C24A51"/>
    <w:rsid w:val="13C93A45"/>
    <w:rsid w:val="13CF69C3"/>
    <w:rsid w:val="13D604FC"/>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1426A"/>
    <w:rsid w:val="14643D5A"/>
    <w:rsid w:val="146975C2"/>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E6FE7"/>
    <w:rsid w:val="15535F3F"/>
    <w:rsid w:val="155C3CBE"/>
    <w:rsid w:val="15697093"/>
    <w:rsid w:val="15760076"/>
    <w:rsid w:val="157E5DA4"/>
    <w:rsid w:val="158D108E"/>
    <w:rsid w:val="159F6FD6"/>
    <w:rsid w:val="15A5462A"/>
    <w:rsid w:val="15B01BBF"/>
    <w:rsid w:val="15C9656A"/>
    <w:rsid w:val="15EC3B3E"/>
    <w:rsid w:val="15F1786F"/>
    <w:rsid w:val="15F46C2A"/>
    <w:rsid w:val="16121567"/>
    <w:rsid w:val="16175528"/>
    <w:rsid w:val="162D4D4B"/>
    <w:rsid w:val="16343F81"/>
    <w:rsid w:val="163634D4"/>
    <w:rsid w:val="163948ED"/>
    <w:rsid w:val="164275F4"/>
    <w:rsid w:val="164717FA"/>
    <w:rsid w:val="1654148B"/>
    <w:rsid w:val="165710DF"/>
    <w:rsid w:val="16573B76"/>
    <w:rsid w:val="165B71D5"/>
    <w:rsid w:val="166869FF"/>
    <w:rsid w:val="16700A7A"/>
    <w:rsid w:val="16734728"/>
    <w:rsid w:val="167D1103"/>
    <w:rsid w:val="1683572D"/>
    <w:rsid w:val="169E0BEA"/>
    <w:rsid w:val="16A3744A"/>
    <w:rsid w:val="16AF7EFC"/>
    <w:rsid w:val="16BE7191"/>
    <w:rsid w:val="16C4115D"/>
    <w:rsid w:val="16D00899"/>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66D1D"/>
    <w:rsid w:val="17D82A95"/>
    <w:rsid w:val="17D86805"/>
    <w:rsid w:val="17FB6C91"/>
    <w:rsid w:val="18053F1E"/>
    <w:rsid w:val="18085749"/>
    <w:rsid w:val="180B6D06"/>
    <w:rsid w:val="181A3262"/>
    <w:rsid w:val="181C3FF8"/>
    <w:rsid w:val="18365CFA"/>
    <w:rsid w:val="184114A1"/>
    <w:rsid w:val="18425C49"/>
    <w:rsid w:val="186969E3"/>
    <w:rsid w:val="18883A30"/>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8040A4"/>
    <w:rsid w:val="198C37FE"/>
    <w:rsid w:val="19A941C1"/>
    <w:rsid w:val="19AE5ACF"/>
    <w:rsid w:val="19AF5A77"/>
    <w:rsid w:val="19B3071D"/>
    <w:rsid w:val="19B675DA"/>
    <w:rsid w:val="19C57049"/>
    <w:rsid w:val="19C637E5"/>
    <w:rsid w:val="19C721FB"/>
    <w:rsid w:val="19CE5CD8"/>
    <w:rsid w:val="19DE010A"/>
    <w:rsid w:val="19F02EFF"/>
    <w:rsid w:val="1A052165"/>
    <w:rsid w:val="1A063EF5"/>
    <w:rsid w:val="1A0F3AD5"/>
    <w:rsid w:val="1A0F6516"/>
    <w:rsid w:val="1A0F7374"/>
    <w:rsid w:val="1A142D27"/>
    <w:rsid w:val="1A1816AF"/>
    <w:rsid w:val="1A302494"/>
    <w:rsid w:val="1A330E88"/>
    <w:rsid w:val="1A407304"/>
    <w:rsid w:val="1A60672B"/>
    <w:rsid w:val="1A630F50"/>
    <w:rsid w:val="1A6732FB"/>
    <w:rsid w:val="1A7871D0"/>
    <w:rsid w:val="1A7929A3"/>
    <w:rsid w:val="1A7B4669"/>
    <w:rsid w:val="1A7F1CED"/>
    <w:rsid w:val="1A870B38"/>
    <w:rsid w:val="1A8C5DB8"/>
    <w:rsid w:val="1A8C6CF6"/>
    <w:rsid w:val="1A9417D9"/>
    <w:rsid w:val="1AA572B8"/>
    <w:rsid w:val="1AA70EB7"/>
    <w:rsid w:val="1AAA4949"/>
    <w:rsid w:val="1AB31D2F"/>
    <w:rsid w:val="1AC00AAF"/>
    <w:rsid w:val="1ACE55DA"/>
    <w:rsid w:val="1ACE6054"/>
    <w:rsid w:val="1ACE6D27"/>
    <w:rsid w:val="1AE0038B"/>
    <w:rsid w:val="1AE34AB0"/>
    <w:rsid w:val="1AEF625F"/>
    <w:rsid w:val="1AFE7DD5"/>
    <w:rsid w:val="1B403FA5"/>
    <w:rsid w:val="1B450A9E"/>
    <w:rsid w:val="1B481CDF"/>
    <w:rsid w:val="1B4B17D0"/>
    <w:rsid w:val="1B524326"/>
    <w:rsid w:val="1B55168B"/>
    <w:rsid w:val="1B63458F"/>
    <w:rsid w:val="1B645069"/>
    <w:rsid w:val="1B7D1BE7"/>
    <w:rsid w:val="1B7D1D15"/>
    <w:rsid w:val="1B8637EA"/>
    <w:rsid w:val="1B966EEF"/>
    <w:rsid w:val="1B9969D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03A01"/>
    <w:rsid w:val="1C762201"/>
    <w:rsid w:val="1C87757C"/>
    <w:rsid w:val="1C911F05"/>
    <w:rsid w:val="1C9232F2"/>
    <w:rsid w:val="1C943E77"/>
    <w:rsid w:val="1C993860"/>
    <w:rsid w:val="1CA06DAD"/>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94085"/>
    <w:rsid w:val="1D6104E9"/>
    <w:rsid w:val="1D6D5E73"/>
    <w:rsid w:val="1D6E2EA0"/>
    <w:rsid w:val="1D790876"/>
    <w:rsid w:val="1D7C0366"/>
    <w:rsid w:val="1D7E40DE"/>
    <w:rsid w:val="1D8C44DA"/>
    <w:rsid w:val="1D90430C"/>
    <w:rsid w:val="1DA228F6"/>
    <w:rsid w:val="1DA26C67"/>
    <w:rsid w:val="1DB571C9"/>
    <w:rsid w:val="1DBF6F58"/>
    <w:rsid w:val="1DCD471E"/>
    <w:rsid w:val="1DFC5003"/>
    <w:rsid w:val="1E2527AC"/>
    <w:rsid w:val="1E2A3F9F"/>
    <w:rsid w:val="1E65546D"/>
    <w:rsid w:val="1E7B6900"/>
    <w:rsid w:val="1E933E22"/>
    <w:rsid w:val="1EB60A31"/>
    <w:rsid w:val="1EC6457D"/>
    <w:rsid w:val="1EC7170B"/>
    <w:rsid w:val="1EC7534C"/>
    <w:rsid w:val="1ECD7160"/>
    <w:rsid w:val="1ED11BB0"/>
    <w:rsid w:val="1ED34F83"/>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665891"/>
    <w:rsid w:val="20823312"/>
    <w:rsid w:val="208241B4"/>
    <w:rsid w:val="208F5999"/>
    <w:rsid w:val="20AA6F98"/>
    <w:rsid w:val="20AF45AF"/>
    <w:rsid w:val="20B05494"/>
    <w:rsid w:val="20BD4F1E"/>
    <w:rsid w:val="20D109C9"/>
    <w:rsid w:val="20EE5770"/>
    <w:rsid w:val="20FD17BE"/>
    <w:rsid w:val="2107261C"/>
    <w:rsid w:val="210B52D2"/>
    <w:rsid w:val="21147FEE"/>
    <w:rsid w:val="2132760F"/>
    <w:rsid w:val="213F7E47"/>
    <w:rsid w:val="21592FEC"/>
    <w:rsid w:val="215B2DFE"/>
    <w:rsid w:val="215C5CD9"/>
    <w:rsid w:val="215F2E6D"/>
    <w:rsid w:val="217575A6"/>
    <w:rsid w:val="218B2E3C"/>
    <w:rsid w:val="219E13DD"/>
    <w:rsid w:val="21B5456C"/>
    <w:rsid w:val="21C0289A"/>
    <w:rsid w:val="21C314C7"/>
    <w:rsid w:val="21CB366A"/>
    <w:rsid w:val="21E53DD4"/>
    <w:rsid w:val="21EA1D42"/>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A4BFB"/>
    <w:rsid w:val="23AF4708"/>
    <w:rsid w:val="23C16A9A"/>
    <w:rsid w:val="23C465C3"/>
    <w:rsid w:val="23E66003"/>
    <w:rsid w:val="23F80076"/>
    <w:rsid w:val="23FC534D"/>
    <w:rsid w:val="23FE2FB7"/>
    <w:rsid w:val="23FE3AF7"/>
    <w:rsid w:val="241840DF"/>
    <w:rsid w:val="241B7142"/>
    <w:rsid w:val="24452007"/>
    <w:rsid w:val="244802C7"/>
    <w:rsid w:val="244C0B39"/>
    <w:rsid w:val="245A32E7"/>
    <w:rsid w:val="246102B6"/>
    <w:rsid w:val="24635935"/>
    <w:rsid w:val="24660E6A"/>
    <w:rsid w:val="24665559"/>
    <w:rsid w:val="24691825"/>
    <w:rsid w:val="247C3868"/>
    <w:rsid w:val="248E0BEE"/>
    <w:rsid w:val="249222CA"/>
    <w:rsid w:val="249B49DE"/>
    <w:rsid w:val="24B056E4"/>
    <w:rsid w:val="24CC572F"/>
    <w:rsid w:val="24CF65FC"/>
    <w:rsid w:val="24D258A5"/>
    <w:rsid w:val="24DA6A74"/>
    <w:rsid w:val="24DB4BCD"/>
    <w:rsid w:val="24F602A0"/>
    <w:rsid w:val="250025A0"/>
    <w:rsid w:val="252966D9"/>
    <w:rsid w:val="25296C9F"/>
    <w:rsid w:val="25401D76"/>
    <w:rsid w:val="2544236B"/>
    <w:rsid w:val="25453733"/>
    <w:rsid w:val="256C3562"/>
    <w:rsid w:val="257F6C45"/>
    <w:rsid w:val="25882662"/>
    <w:rsid w:val="258C736F"/>
    <w:rsid w:val="25977271"/>
    <w:rsid w:val="259B2D68"/>
    <w:rsid w:val="259E7D45"/>
    <w:rsid w:val="25A6077B"/>
    <w:rsid w:val="25A941CC"/>
    <w:rsid w:val="25A97E1E"/>
    <w:rsid w:val="25B40CD0"/>
    <w:rsid w:val="25BC160E"/>
    <w:rsid w:val="25BF4424"/>
    <w:rsid w:val="25C17AFA"/>
    <w:rsid w:val="25C251DB"/>
    <w:rsid w:val="25E00E0C"/>
    <w:rsid w:val="25EF379B"/>
    <w:rsid w:val="25FC2044"/>
    <w:rsid w:val="260C11C1"/>
    <w:rsid w:val="261049C1"/>
    <w:rsid w:val="261E645E"/>
    <w:rsid w:val="26215F4F"/>
    <w:rsid w:val="26383109"/>
    <w:rsid w:val="264043A1"/>
    <w:rsid w:val="2641214D"/>
    <w:rsid w:val="264E7E9A"/>
    <w:rsid w:val="26597FFC"/>
    <w:rsid w:val="26697AAB"/>
    <w:rsid w:val="266D2F42"/>
    <w:rsid w:val="2673065B"/>
    <w:rsid w:val="26746071"/>
    <w:rsid w:val="267839D3"/>
    <w:rsid w:val="26802C75"/>
    <w:rsid w:val="268423E1"/>
    <w:rsid w:val="26890627"/>
    <w:rsid w:val="26937CAB"/>
    <w:rsid w:val="26A43060"/>
    <w:rsid w:val="26BB1EFF"/>
    <w:rsid w:val="26BB2001"/>
    <w:rsid w:val="26C467F8"/>
    <w:rsid w:val="26DD103B"/>
    <w:rsid w:val="26E35358"/>
    <w:rsid w:val="270E00FE"/>
    <w:rsid w:val="270E298C"/>
    <w:rsid w:val="270E29F5"/>
    <w:rsid w:val="271512D2"/>
    <w:rsid w:val="272950BB"/>
    <w:rsid w:val="272A0E33"/>
    <w:rsid w:val="272A2D2F"/>
    <w:rsid w:val="274020AE"/>
    <w:rsid w:val="27446B6F"/>
    <w:rsid w:val="274F752C"/>
    <w:rsid w:val="27520933"/>
    <w:rsid w:val="27584657"/>
    <w:rsid w:val="275E5A93"/>
    <w:rsid w:val="27736226"/>
    <w:rsid w:val="27755DA7"/>
    <w:rsid w:val="277C7F9A"/>
    <w:rsid w:val="279D2924"/>
    <w:rsid w:val="27A52E1A"/>
    <w:rsid w:val="27AC7A9A"/>
    <w:rsid w:val="27BF60E1"/>
    <w:rsid w:val="27C53958"/>
    <w:rsid w:val="27D36D37"/>
    <w:rsid w:val="27DA4B73"/>
    <w:rsid w:val="27E61F25"/>
    <w:rsid w:val="27EC31BB"/>
    <w:rsid w:val="27ED2CBD"/>
    <w:rsid w:val="27F63DA6"/>
    <w:rsid w:val="27FA5CB6"/>
    <w:rsid w:val="280D34EA"/>
    <w:rsid w:val="281466B1"/>
    <w:rsid w:val="281713B7"/>
    <w:rsid w:val="281824A7"/>
    <w:rsid w:val="28312BBF"/>
    <w:rsid w:val="283B7736"/>
    <w:rsid w:val="284C64E6"/>
    <w:rsid w:val="2852403A"/>
    <w:rsid w:val="285F673E"/>
    <w:rsid w:val="28644CCA"/>
    <w:rsid w:val="28687E65"/>
    <w:rsid w:val="28732D83"/>
    <w:rsid w:val="28831186"/>
    <w:rsid w:val="288F6949"/>
    <w:rsid w:val="28911AF2"/>
    <w:rsid w:val="289151CA"/>
    <w:rsid w:val="28A10C81"/>
    <w:rsid w:val="28A2680F"/>
    <w:rsid w:val="28AB1AFF"/>
    <w:rsid w:val="28B63487"/>
    <w:rsid w:val="28DF17A9"/>
    <w:rsid w:val="28E92551"/>
    <w:rsid w:val="28EB31BC"/>
    <w:rsid w:val="28EB583C"/>
    <w:rsid w:val="28EC2844"/>
    <w:rsid w:val="28F402DA"/>
    <w:rsid w:val="28FC78BE"/>
    <w:rsid w:val="29000A40"/>
    <w:rsid w:val="290F29AF"/>
    <w:rsid w:val="292D0766"/>
    <w:rsid w:val="293634F4"/>
    <w:rsid w:val="29600B3C"/>
    <w:rsid w:val="29606D8E"/>
    <w:rsid w:val="29671ECA"/>
    <w:rsid w:val="29770361"/>
    <w:rsid w:val="2985201E"/>
    <w:rsid w:val="29C55899"/>
    <w:rsid w:val="29D3130E"/>
    <w:rsid w:val="29F2147C"/>
    <w:rsid w:val="2A0C4A40"/>
    <w:rsid w:val="2A0D3DED"/>
    <w:rsid w:val="2A104310"/>
    <w:rsid w:val="2A133E0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671B7"/>
    <w:rsid w:val="2AD81233"/>
    <w:rsid w:val="2AE63EFE"/>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1D0F66"/>
    <w:rsid w:val="2C324A12"/>
    <w:rsid w:val="2C3447BE"/>
    <w:rsid w:val="2C3B1B1B"/>
    <w:rsid w:val="2C3C07B5"/>
    <w:rsid w:val="2C3C1CCE"/>
    <w:rsid w:val="2C3D3C75"/>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4362B"/>
    <w:rsid w:val="2D2E304F"/>
    <w:rsid w:val="2D3C07FE"/>
    <w:rsid w:val="2D5756FC"/>
    <w:rsid w:val="2D5D5591"/>
    <w:rsid w:val="2D74743A"/>
    <w:rsid w:val="2D7C11D4"/>
    <w:rsid w:val="2D7F4766"/>
    <w:rsid w:val="2D8D3A62"/>
    <w:rsid w:val="2DAF3E40"/>
    <w:rsid w:val="2DBE7F60"/>
    <w:rsid w:val="2DE81100"/>
    <w:rsid w:val="2DF6381D"/>
    <w:rsid w:val="2DF6788C"/>
    <w:rsid w:val="2E0D1588"/>
    <w:rsid w:val="2E3944B7"/>
    <w:rsid w:val="2E4749F8"/>
    <w:rsid w:val="2E4C1B78"/>
    <w:rsid w:val="2E73313B"/>
    <w:rsid w:val="2E81720F"/>
    <w:rsid w:val="2E866E5E"/>
    <w:rsid w:val="2E9077CD"/>
    <w:rsid w:val="2EA916B2"/>
    <w:rsid w:val="2EB46A04"/>
    <w:rsid w:val="2EB84F76"/>
    <w:rsid w:val="2EC62DA5"/>
    <w:rsid w:val="2ECB7077"/>
    <w:rsid w:val="2EED318E"/>
    <w:rsid w:val="2EFE3F3B"/>
    <w:rsid w:val="2F0C331C"/>
    <w:rsid w:val="2F0F1794"/>
    <w:rsid w:val="2F176141"/>
    <w:rsid w:val="2F1A0856"/>
    <w:rsid w:val="2F2443BA"/>
    <w:rsid w:val="2F2B5B05"/>
    <w:rsid w:val="2F475C7E"/>
    <w:rsid w:val="2F486024"/>
    <w:rsid w:val="2F523B34"/>
    <w:rsid w:val="2F5E78CC"/>
    <w:rsid w:val="2F681310"/>
    <w:rsid w:val="2F6C283B"/>
    <w:rsid w:val="2F743B89"/>
    <w:rsid w:val="2F7E2877"/>
    <w:rsid w:val="2F8567D8"/>
    <w:rsid w:val="2F8B5040"/>
    <w:rsid w:val="2F8B61E7"/>
    <w:rsid w:val="2F9107C4"/>
    <w:rsid w:val="2F961B57"/>
    <w:rsid w:val="2FDC6A42"/>
    <w:rsid w:val="2FE65B09"/>
    <w:rsid w:val="2FFF53A8"/>
    <w:rsid w:val="30047098"/>
    <w:rsid w:val="30077F63"/>
    <w:rsid w:val="30115CE5"/>
    <w:rsid w:val="30135C1F"/>
    <w:rsid w:val="30191760"/>
    <w:rsid w:val="3028092A"/>
    <w:rsid w:val="302F54E7"/>
    <w:rsid w:val="304863A9"/>
    <w:rsid w:val="306C4DF1"/>
    <w:rsid w:val="30726790"/>
    <w:rsid w:val="30801AC4"/>
    <w:rsid w:val="30823D65"/>
    <w:rsid w:val="30831C53"/>
    <w:rsid w:val="308E438B"/>
    <w:rsid w:val="30A43A04"/>
    <w:rsid w:val="30C87FB8"/>
    <w:rsid w:val="30CB1DAF"/>
    <w:rsid w:val="30E90E2B"/>
    <w:rsid w:val="30ED02EA"/>
    <w:rsid w:val="30FF267A"/>
    <w:rsid w:val="30FF594C"/>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041CB"/>
    <w:rsid w:val="31A87524"/>
    <w:rsid w:val="31B06C89"/>
    <w:rsid w:val="31B91778"/>
    <w:rsid w:val="31C2569E"/>
    <w:rsid w:val="31C96BD0"/>
    <w:rsid w:val="31D04385"/>
    <w:rsid w:val="31D9377A"/>
    <w:rsid w:val="31E15891"/>
    <w:rsid w:val="31F043F4"/>
    <w:rsid w:val="32170EE1"/>
    <w:rsid w:val="325066A8"/>
    <w:rsid w:val="32563FE3"/>
    <w:rsid w:val="325D3410"/>
    <w:rsid w:val="3260226B"/>
    <w:rsid w:val="327652E9"/>
    <w:rsid w:val="327A5FF1"/>
    <w:rsid w:val="32A55CC0"/>
    <w:rsid w:val="32A937D2"/>
    <w:rsid w:val="32C95971"/>
    <w:rsid w:val="32CF5928"/>
    <w:rsid w:val="32D97115"/>
    <w:rsid w:val="32E41009"/>
    <w:rsid w:val="32E9078F"/>
    <w:rsid w:val="32ED34FF"/>
    <w:rsid w:val="330856D0"/>
    <w:rsid w:val="332B3F69"/>
    <w:rsid w:val="33316646"/>
    <w:rsid w:val="333A06E2"/>
    <w:rsid w:val="33462B8C"/>
    <w:rsid w:val="33491C13"/>
    <w:rsid w:val="335E45B2"/>
    <w:rsid w:val="33680D19"/>
    <w:rsid w:val="33691E57"/>
    <w:rsid w:val="336E025D"/>
    <w:rsid w:val="336F654B"/>
    <w:rsid w:val="33735D99"/>
    <w:rsid w:val="33736E76"/>
    <w:rsid w:val="337570A4"/>
    <w:rsid w:val="33833CFC"/>
    <w:rsid w:val="33A269EC"/>
    <w:rsid w:val="33A856B1"/>
    <w:rsid w:val="33A930DF"/>
    <w:rsid w:val="33AB2922"/>
    <w:rsid w:val="33AE6B10"/>
    <w:rsid w:val="33B73314"/>
    <w:rsid w:val="33C50B9E"/>
    <w:rsid w:val="33D30EC6"/>
    <w:rsid w:val="33D867E1"/>
    <w:rsid w:val="33D976B3"/>
    <w:rsid w:val="33DB2EFB"/>
    <w:rsid w:val="33DC6CF8"/>
    <w:rsid w:val="33EE36D1"/>
    <w:rsid w:val="33F54490"/>
    <w:rsid w:val="33F754AE"/>
    <w:rsid w:val="33F85833"/>
    <w:rsid w:val="33F94458"/>
    <w:rsid w:val="340B1EAD"/>
    <w:rsid w:val="34111989"/>
    <w:rsid w:val="341266A4"/>
    <w:rsid w:val="3421711A"/>
    <w:rsid w:val="3429350C"/>
    <w:rsid w:val="343C76C2"/>
    <w:rsid w:val="343D0166"/>
    <w:rsid w:val="343D6C24"/>
    <w:rsid w:val="345873A9"/>
    <w:rsid w:val="347C5D20"/>
    <w:rsid w:val="348C4EDB"/>
    <w:rsid w:val="34997F68"/>
    <w:rsid w:val="349D6F1D"/>
    <w:rsid w:val="34AF7CC9"/>
    <w:rsid w:val="34B14942"/>
    <w:rsid w:val="34C87463"/>
    <w:rsid w:val="34DB376C"/>
    <w:rsid w:val="34E526B4"/>
    <w:rsid w:val="34F03DC0"/>
    <w:rsid w:val="34FE7262"/>
    <w:rsid w:val="352407FC"/>
    <w:rsid w:val="352612DF"/>
    <w:rsid w:val="35284201"/>
    <w:rsid w:val="35322B1F"/>
    <w:rsid w:val="3535498A"/>
    <w:rsid w:val="35471E10"/>
    <w:rsid w:val="354F3660"/>
    <w:rsid w:val="355004C3"/>
    <w:rsid w:val="3556146D"/>
    <w:rsid w:val="355724F0"/>
    <w:rsid w:val="356B5D07"/>
    <w:rsid w:val="357A4D33"/>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E1B63"/>
    <w:rsid w:val="361F1CFE"/>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1D5F61"/>
    <w:rsid w:val="37252E94"/>
    <w:rsid w:val="37296474"/>
    <w:rsid w:val="373227C5"/>
    <w:rsid w:val="37405833"/>
    <w:rsid w:val="374101FF"/>
    <w:rsid w:val="375869AC"/>
    <w:rsid w:val="375B253A"/>
    <w:rsid w:val="37666B6B"/>
    <w:rsid w:val="37675674"/>
    <w:rsid w:val="376B1978"/>
    <w:rsid w:val="37940CA8"/>
    <w:rsid w:val="37D848CF"/>
    <w:rsid w:val="37DA41AF"/>
    <w:rsid w:val="37DB157C"/>
    <w:rsid w:val="37DB3C7D"/>
    <w:rsid w:val="37EE7D30"/>
    <w:rsid w:val="37F62976"/>
    <w:rsid w:val="37F77F19"/>
    <w:rsid w:val="38034F62"/>
    <w:rsid w:val="38042FDA"/>
    <w:rsid w:val="381C3F20"/>
    <w:rsid w:val="3822692C"/>
    <w:rsid w:val="38343F2A"/>
    <w:rsid w:val="38490F9C"/>
    <w:rsid w:val="384C1631"/>
    <w:rsid w:val="38542754"/>
    <w:rsid w:val="386C03A0"/>
    <w:rsid w:val="386D6DD1"/>
    <w:rsid w:val="38850AD8"/>
    <w:rsid w:val="3891486E"/>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6E1053"/>
    <w:rsid w:val="397B4E62"/>
    <w:rsid w:val="39972B1A"/>
    <w:rsid w:val="399A1410"/>
    <w:rsid w:val="39C47D94"/>
    <w:rsid w:val="39CD1539"/>
    <w:rsid w:val="39CD5D32"/>
    <w:rsid w:val="39DA1DFA"/>
    <w:rsid w:val="39DC71EB"/>
    <w:rsid w:val="39DD5D2E"/>
    <w:rsid w:val="39E01A69"/>
    <w:rsid w:val="3A045F91"/>
    <w:rsid w:val="3A076679"/>
    <w:rsid w:val="3A0A0953"/>
    <w:rsid w:val="3A211C22"/>
    <w:rsid w:val="3A2C4127"/>
    <w:rsid w:val="3A4F0AA8"/>
    <w:rsid w:val="3A543DA5"/>
    <w:rsid w:val="3A5576B6"/>
    <w:rsid w:val="3A676FD4"/>
    <w:rsid w:val="3A682780"/>
    <w:rsid w:val="3A697EB7"/>
    <w:rsid w:val="3A7F0311"/>
    <w:rsid w:val="3A845141"/>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D5180"/>
    <w:rsid w:val="3B7F15E2"/>
    <w:rsid w:val="3B831E44"/>
    <w:rsid w:val="3B8536A6"/>
    <w:rsid w:val="3B9F0C51"/>
    <w:rsid w:val="3BA00572"/>
    <w:rsid w:val="3BB1021B"/>
    <w:rsid w:val="3BE15B0C"/>
    <w:rsid w:val="3BF72A83"/>
    <w:rsid w:val="3C135790"/>
    <w:rsid w:val="3C1752F7"/>
    <w:rsid w:val="3C193171"/>
    <w:rsid w:val="3C1E3214"/>
    <w:rsid w:val="3C2528C6"/>
    <w:rsid w:val="3C371BD0"/>
    <w:rsid w:val="3C4F1FEA"/>
    <w:rsid w:val="3C5B6745"/>
    <w:rsid w:val="3C5E3DBD"/>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254E4B"/>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05142"/>
    <w:rsid w:val="3DD122A2"/>
    <w:rsid w:val="3DD64752"/>
    <w:rsid w:val="3DD80DF7"/>
    <w:rsid w:val="3DE17E96"/>
    <w:rsid w:val="3DE26317"/>
    <w:rsid w:val="3DEB1B40"/>
    <w:rsid w:val="3DFC4E7F"/>
    <w:rsid w:val="3E097D00"/>
    <w:rsid w:val="3E2D1C0D"/>
    <w:rsid w:val="3E330175"/>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F024C1A"/>
    <w:rsid w:val="3F0D0FA0"/>
    <w:rsid w:val="3F2006FA"/>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39A3"/>
    <w:rsid w:val="403D5148"/>
    <w:rsid w:val="403D6B94"/>
    <w:rsid w:val="40507C98"/>
    <w:rsid w:val="40580367"/>
    <w:rsid w:val="4061657E"/>
    <w:rsid w:val="40642B5B"/>
    <w:rsid w:val="40767673"/>
    <w:rsid w:val="407707ED"/>
    <w:rsid w:val="40892318"/>
    <w:rsid w:val="408E0789"/>
    <w:rsid w:val="409A0980"/>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E3A67"/>
    <w:rsid w:val="41C95125"/>
    <w:rsid w:val="41EA02ED"/>
    <w:rsid w:val="41EA4FEF"/>
    <w:rsid w:val="42075BA1"/>
    <w:rsid w:val="4215282E"/>
    <w:rsid w:val="42166627"/>
    <w:rsid w:val="42225E0B"/>
    <w:rsid w:val="42383FB6"/>
    <w:rsid w:val="423D7815"/>
    <w:rsid w:val="424F30C2"/>
    <w:rsid w:val="425E14DB"/>
    <w:rsid w:val="42621029"/>
    <w:rsid w:val="426B4382"/>
    <w:rsid w:val="42725710"/>
    <w:rsid w:val="427358D4"/>
    <w:rsid w:val="42736D87"/>
    <w:rsid w:val="427E086F"/>
    <w:rsid w:val="42826F4F"/>
    <w:rsid w:val="428B0580"/>
    <w:rsid w:val="42937FCD"/>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3A3C4A"/>
    <w:rsid w:val="435720D9"/>
    <w:rsid w:val="43615785"/>
    <w:rsid w:val="43732880"/>
    <w:rsid w:val="43860D47"/>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36276D"/>
    <w:rsid w:val="44426345"/>
    <w:rsid w:val="444B2816"/>
    <w:rsid w:val="445279AA"/>
    <w:rsid w:val="4453331F"/>
    <w:rsid w:val="445F3A86"/>
    <w:rsid w:val="4478636B"/>
    <w:rsid w:val="447A0DB3"/>
    <w:rsid w:val="447B4624"/>
    <w:rsid w:val="447D2B53"/>
    <w:rsid w:val="4481712B"/>
    <w:rsid w:val="44901E7E"/>
    <w:rsid w:val="449F54A7"/>
    <w:rsid w:val="44A1052F"/>
    <w:rsid w:val="44C93406"/>
    <w:rsid w:val="44D74994"/>
    <w:rsid w:val="44DD0E3B"/>
    <w:rsid w:val="44E67CEF"/>
    <w:rsid w:val="44F62875"/>
    <w:rsid w:val="45111EFE"/>
    <w:rsid w:val="451730A2"/>
    <w:rsid w:val="451955A3"/>
    <w:rsid w:val="45205199"/>
    <w:rsid w:val="45260B70"/>
    <w:rsid w:val="45357C2D"/>
    <w:rsid w:val="453A003B"/>
    <w:rsid w:val="45467C1A"/>
    <w:rsid w:val="45523E0A"/>
    <w:rsid w:val="45603F46"/>
    <w:rsid w:val="45784EE5"/>
    <w:rsid w:val="457C33A8"/>
    <w:rsid w:val="4582210E"/>
    <w:rsid w:val="458804FE"/>
    <w:rsid w:val="458D57CB"/>
    <w:rsid w:val="4595726A"/>
    <w:rsid w:val="45C67177"/>
    <w:rsid w:val="45D048BE"/>
    <w:rsid w:val="45DC10F2"/>
    <w:rsid w:val="45DE626C"/>
    <w:rsid w:val="45EB660D"/>
    <w:rsid w:val="45F13477"/>
    <w:rsid w:val="45FD7B3D"/>
    <w:rsid w:val="460A10C2"/>
    <w:rsid w:val="46220C85"/>
    <w:rsid w:val="46230254"/>
    <w:rsid w:val="46244F73"/>
    <w:rsid w:val="46287B26"/>
    <w:rsid w:val="462A00B0"/>
    <w:rsid w:val="462D24EF"/>
    <w:rsid w:val="463F1DAD"/>
    <w:rsid w:val="46534E0B"/>
    <w:rsid w:val="466E61EE"/>
    <w:rsid w:val="4670640B"/>
    <w:rsid w:val="46753897"/>
    <w:rsid w:val="467A71EB"/>
    <w:rsid w:val="46867477"/>
    <w:rsid w:val="468A02AD"/>
    <w:rsid w:val="468B3DD1"/>
    <w:rsid w:val="469043B7"/>
    <w:rsid w:val="46A95479"/>
    <w:rsid w:val="46B837C8"/>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C305D"/>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6C0E54"/>
    <w:rsid w:val="487B675C"/>
    <w:rsid w:val="48A95C04"/>
    <w:rsid w:val="48B22238"/>
    <w:rsid w:val="48B33076"/>
    <w:rsid w:val="48C4330A"/>
    <w:rsid w:val="48D55EB3"/>
    <w:rsid w:val="48DA0701"/>
    <w:rsid w:val="48DF324A"/>
    <w:rsid w:val="48E052EC"/>
    <w:rsid w:val="48E65AEE"/>
    <w:rsid w:val="48F50E49"/>
    <w:rsid w:val="48F80CE7"/>
    <w:rsid w:val="49096FCD"/>
    <w:rsid w:val="490F3BD6"/>
    <w:rsid w:val="491D7C08"/>
    <w:rsid w:val="494625B6"/>
    <w:rsid w:val="49507E2D"/>
    <w:rsid w:val="49512BB1"/>
    <w:rsid w:val="495E0009"/>
    <w:rsid w:val="495F2766"/>
    <w:rsid w:val="49641F5D"/>
    <w:rsid w:val="49666B6B"/>
    <w:rsid w:val="496F2CCC"/>
    <w:rsid w:val="498F64FC"/>
    <w:rsid w:val="49AD1724"/>
    <w:rsid w:val="49BE7E39"/>
    <w:rsid w:val="49C40005"/>
    <w:rsid w:val="49C65419"/>
    <w:rsid w:val="49D04BAB"/>
    <w:rsid w:val="49EA0282"/>
    <w:rsid w:val="49EA17C4"/>
    <w:rsid w:val="49EF440A"/>
    <w:rsid w:val="4A1A2F12"/>
    <w:rsid w:val="4A2C7C77"/>
    <w:rsid w:val="4A321C6F"/>
    <w:rsid w:val="4A366D8C"/>
    <w:rsid w:val="4A375709"/>
    <w:rsid w:val="4A475BFC"/>
    <w:rsid w:val="4A4E1094"/>
    <w:rsid w:val="4A561717"/>
    <w:rsid w:val="4A5D3269"/>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8D7117"/>
    <w:rsid w:val="4BA563FE"/>
    <w:rsid w:val="4BB77663"/>
    <w:rsid w:val="4BC54DE5"/>
    <w:rsid w:val="4BCB7306"/>
    <w:rsid w:val="4BD52968"/>
    <w:rsid w:val="4BD91D02"/>
    <w:rsid w:val="4BE2600E"/>
    <w:rsid w:val="4BE57820"/>
    <w:rsid w:val="4BF657A1"/>
    <w:rsid w:val="4BFB7B74"/>
    <w:rsid w:val="4C0457A1"/>
    <w:rsid w:val="4C2070A8"/>
    <w:rsid w:val="4C37506A"/>
    <w:rsid w:val="4C3F2C78"/>
    <w:rsid w:val="4C42244E"/>
    <w:rsid w:val="4C437DCE"/>
    <w:rsid w:val="4C6D3DA8"/>
    <w:rsid w:val="4C727CFA"/>
    <w:rsid w:val="4C88081B"/>
    <w:rsid w:val="4C8872A2"/>
    <w:rsid w:val="4C9C19F3"/>
    <w:rsid w:val="4CA47183"/>
    <w:rsid w:val="4CAF7561"/>
    <w:rsid w:val="4CB7606E"/>
    <w:rsid w:val="4CDE1861"/>
    <w:rsid w:val="4CDF36E2"/>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679DB"/>
    <w:rsid w:val="4DE61D12"/>
    <w:rsid w:val="4DF1146E"/>
    <w:rsid w:val="4DF53699"/>
    <w:rsid w:val="4DF82017"/>
    <w:rsid w:val="4E0E661C"/>
    <w:rsid w:val="4E1D0860"/>
    <w:rsid w:val="4E1E3790"/>
    <w:rsid w:val="4E2E44B5"/>
    <w:rsid w:val="4E4C57ED"/>
    <w:rsid w:val="4E5505A6"/>
    <w:rsid w:val="4E820BD8"/>
    <w:rsid w:val="4E874C8C"/>
    <w:rsid w:val="4E8D729C"/>
    <w:rsid w:val="4E8E1C0C"/>
    <w:rsid w:val="4E9609D8"/>
    <w:rsid w:val="4E98004C"/>
    <w:rsid w:val="4EA5208F"/>
    <w:rsid w:val="4EAE617F"/>
    <w:rsid w:val="4EBD702F"/>
    <w:rsid w:val="4EC310A1"/>
    <w:rsid w:val="4EC818B0"/>
    <w:rsid w:val="4ECB59F9"/>
    <w:rsid w:val="4ECE1CAC"/>
    <w:rsid w:val="4EE414BB"/>
    <w:rsid w:val="4EE87B84"/>
    <w:rsid w:val="4EFE0DEE"/>
    <w:rsid w:val="4EFF65C5"/>
    <w:rsid w:val="4F0052D1"/>
    <w:rsid w:val="4F014784"/>
    <w:rsid w:val="4F0431E6"/>
    <w:rsid w:val="4F1B712F"/>
    <w:rsid w:val="4F1C605F"/>
    <w:rsid w:val="4F254824"/>
    <w:rsid w:val="4F2658BE"/>
    <w:rsid w:val="4F42646A"/>
    <w:rsid w:val="4F4736A7"/>
    <w:rsid w:val="4F7914EF"/>
    <w:rsid w:val="4F9174FD"/>
    <w:rsid w:val="4F9402D2"/>
    <w:rsid w:val="4FB10142"/>
    <w:rsid w:val="4FB82BD0"/>
    <w:rsid w:val="4FC643B6"/>
    <w:rsid w:val="4FD1578E"/>
    <w:rsid w:val="4FE10E76"/>
    <w:rsid w:val="4FEE2189"/>
    <w:rsid w:val="4FF71C3D"/>
    <w:rsid w:val="50016856"/>
    <w:rsid w:val="5008518B"/>
    <w:rsid w:val="500B32A2"/>
    <w:rsid w:val="501A4DE6"/>
    <w:rsid w:val="502B6647"/>
    <w:rsid w:val="502B6EFE"/>
    <w:rsid w:val="50324E90"/>
    <w:rsid w:val="504C1B11"/>
    <w:rsid w:val="504E68CB"/>
    <w:rsid w:val="505F48A5"/>
    <w:rsid w:val="506472D4"/>
    <w:rsid w:val="50664FFD"/>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BA020E"/>
    <w:rsid w:val="51C05FF6"/>
    <w:rsid w:val="51D135DE"/>
    <w:rsid w:val="51DF4444"/>
    <w:rsid w:val="51ED6B61"/>
    <w:rsid w:val="51F65295"/>
    <w:rsid w:val="51F872B4"/>
    <w:rsid w:val="51FD3DB6"/>
    <w:rsid w:val="52097713"/>
    <w:rsid w:val="520C3BB6"/>
    <w:rsid w:val="52252174"/>
    <w:rsid w:val="52295AE6"/>
    <w:rsid w:val="522D0E7F"/>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2760A3"/>
    <w:rsid w:val="533354CF"/>
    <w:rsid w:val="533407C0"/>
    <w:rsid w:val="53346B96"/>
    <w:rsid w:val="535D5DC8"/>
    <w:rsid w:val="537A3167"/>
    <w:rsid w:val="537D2360"/>
    <w:rsid w:val="53811E50"/>
    <w:rsid w:val="53A12BA9"/>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607AB"/>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CA3B23"/>
    <w:rsid w:val="54E979F3"/>
    <w:rsid w:val="54EF0774"/>
    <w:rsid w:val="54F2448F"/>
    <w:rsid w:val="54FE2E33"/>
    <w:rsid w:val="550B2DC8"/>
    <w:rsid w:val="551E1403"/>
    <w:rsid w:val="5520724E"/>
    <w:rsid w:val="5540169E"/>
    <w:rsid w:val="55466588"/>
    <w:rsid w:val="5547793A"/>
    <w:rsid w:val="554C32B2"/>
    <w:rsid w:val="55501E76"/>
    <w:rsid w:val="55701D69"/>
    <w:rsid w:val="55731E3E"/>
    <w:rsid w:val="557A0272"/>
    <w:rsid w:val="557E29D7"/>
    <w:rsid w:val="558F2195"/>
    <w:rsid w:val="55900035"/>
    <w:rsid w:val="55AF798B"/>
    <w:rsid w:val="55CA70E8"/>
    <w:rsid w:val="55ED4967"/>
    <w:rsid w:val="55F350C4"/>
    <w:rsid w:val="561B14C6"/>
    <w:rsid w:val="561B7A15"/>
    <w:rsid w:val="56247722"/>
    <w:rsid w:val="56342FDD"/>
    <w:rsid w:val="56467B64"/>
    <w:rsid w:val="564F7A5E"/>
    <w:rsid w:val="565626F9"/>
    <w:rsid w:val="565671A2"/>
    <w:rsid w:val="56685CA8"/>
    <w:rsid w:val="56694C24"/>
    <w:rsid w:val="56740DC7"/>
    <w:rsid w:val="56753961"/>
    <w:rsid w:val="5677558B"/>
    <w:rsid w:val="569C2904"/>
    <w:rsid w:val="56AA3219"/>
    <w:rsid w:val="56CF2574"/>
    <w:rsid w:val="56CF424D"/>
    <w:rsid w:val="56DE4C00"/>
    <w:rsid w:val="570847EE"/>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7FB18AC"/>
    <w:rsid w:val="580846BB"/>
    <w:rsid w:val="5816050F"/>
    <w:rsid w:val="581D5CC6"/>
    <w:rsid w:val="58205F1A"/>
    <w:rsid w:val="582468CD"/>
    <w:rsid w:val="582840C5"/>
    <w:rsid w:val="583074F9"/>
    <w:rsid w:val="583515AC"/>
    <w:rsid w:val="584B45E2"/>
    <w:rsid w:val="584C2587"/>
    <w:rsid w:val="585127AA"/>
    <w:rsid w:val="585D5314"/>
    <w:rsid w:val="58603D47"/>
    <w:rsid w:val="58743A0C"/>
    <w:rsid w:val="589C45D1"/>
    <w:rsid w:val="58BB3CCE"/>
    <w:rsid w:val="58C97BB5"/>
    <w:rsid w:val="58CD3249"/>
    <w:rsid w:val="58DE0E81"/>
    <w:rsid w:val="59125866"/>
    <w:rsid w:val="5915352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7E3799"/>
    <w:rsid w:val="5A873ECB"/>
    <w:rsid w:val="5A934A0F"/>
    <w:rsid w:val="5A957C98"/>
    <w:rsid w:val="5A9E6D6F"/>
    <w:rsid w:val="5AAC50E0"/>
    <w:rsid w:val="5AAD60EA"/>
    <w:rsid w:val="5AB61DE0"/>
    <w:rsid w:val="5ACB527F"/>
    <w:rsid w:val="5AD7761B"/>
    <w:rsid w:val="5AFE3E43"/>
    <w:rsid w:val="5B072DB6"/>
    <w:rsid w:val="5B19492B"/>
    <w:rsid w:val="5B233465"/>
    <w:rsid w:val="5B2630E4"/>
    <w:rsid w:val="5B506B61"/>
    <w:rsid w:val="5B5F0F2E"/>
    <w:rsid w:val="5B667984"/>
    <w:rsid w:val="5B6B796C"/>
    <w:rsid w:val="5B6D2D12"/>
    <w:rsid w:val="5B7A6F8C"/>
    <w:rsid w:val="5B7C0F56"/>
    <w:rsid w:val="5B9808C1"/>
    <w:rsid w:val="5BB10CB2"/>
    <w:rsid w:val="5BC16A09"/>
    <w:rsid w:val="5BC86C25"/>
    <w:rsid w:val="5C012CC6"/>
    <w:rsid w:val="5C3B496D"/>
    <w:rsid w:val="5C503DE0"/>
    <w:rsid w:val="5C5435D1"/>
    <w:rsid w:val="5C5C5BA5"/>
    <w:rsid w:val="5C6C0FCA"/>
    <w:rsid w:val="5C8005D2"/>
    <w:rsid w:val="5C8C4702"/>
    <w:rsid w:val="5C936557"/>
    <w:rsid w:val="5C943DBC"/>
    <w:rsid w:val="5C997625"/>
    <w:rsid w:val="5C9D73D6"/>
    <w:rsid w:val="5CA57080"/>
    <w:rsid w:val="5CA77E21"/>
    <w:rsid w:val="5CAF0BE0"/>
    <w:rsid w:val="5CB458BA"/>
    <w:rsid w:val="5CDC782C"/>
    <w:rsid w:val="5CE23DAC"/>
    <w:rsid w:val="5CE73917"/>
    <w:rsid w:val="5D0A73AF"/>
    <w:rsid w:val="5D120F26"/>
    <w:rsid w:val="5D1F603D"/>
    <w:rsid w:val="5D376039"/>
    <w:rsid w:val="5D3E31E9"/>
    <w:rsid w:val="5D436E42"/>
    <w:rsid w:val="5D475B2E"/>
    <w:rsid w:val="5D63667B"/>
    <w:rsid w:val="5D6F2EDA"/>
    <w:rsid w:val="5D783847"/>
    <w:rsid w:val="5D83037A"/>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40706E"/>
    <w:rsid w:val="5E4C1080"/>
    <w:rsid w:val="5E4E1C8A"/>
    <w:rsid w:val="5E4F4071"/>
    <w:rsid w:val="5E5D7A78"/>
    <w:rsid w:val="5E7833A1"/>
    <w:rsid w:val="5E8274BA"/>
    <w:rsid w:val="5E8530EF"/>
    <w:rsid w:val="5EA06D09"/>
    <w:rsid w:val="5EA53C9A"/>
    <w:rsid w:val="5EB822A5"/>
    <w:rsid w:val="5EBC7F37"/>
    <w:rsid w:val="5ECE7D1A"/>
    <w:rsid w:val="5ED36C86"/>
    <w:rsid w:val="5EDA60B0"/>
    <w:rsid w:val="5EE35A57"/>
    <w:rsid w:val="5F1645A7"/>
    <w:rsid w:val="5F49114F"/>
    <w:rsid w:val="5F6A54DD"/>
    <w:rsid w:val="5F7464DC"/>
    <w:rsid w:val="5F815969"/>
    <w:rsid w:val="5F8B4FA7"/>
    <w:rsid w:val="5F8F0D9C"/>
    <w:rsid w:val="5F9B72D1"/>
    <w:rsid w:val="5FAB0A44"/>
    <w:rsid w:val="5FB17C29"/>
    <w:rsid w:val="5FB34738"/>
    <w:rsid w:val="5FB95E1C"/>
    <w:rsid w:val="5FC353A5"/>
    <w:rsid w:val="5FC85F82"/>
    <w:rsid w:val="5FCB3FE5"/>
    <w:rsid w:val="5FDA1CAC"/>
    <w:rsid w:val="5FDC5EDE"/>
    <w:rsid w:val="5FEB2206"/>
    <w:rsid w:val="5FED772C"/>
    <w:rsid w:val="5FF97EAE"/>
    <w:rsid w:val="60155C27"/>
    <w:rsid w:val="60162D11"/>
    <w:rsid w:val="601A6070"/>
    <w:rsid w:val="60226F8B"/>
    <w:rsid w:val="603B4F3C"/>
    <w:rsid w:val="60477ABF"/>
    <w:rsid w:val="604B06AE"/>
    <w:rsid w:val="60526566"/>
    <w:rsid w:val="606940D8"/>
    <w:rsid w:val="607F756F"/>
    <w:rsid w:val="60917251"/>
    <w:rsid w:val="60982996"/>
    <w:rsid w:val="60C53D01"/>
    <w:rsid w:val="60C9018D"/>
    <w:rsid w:val="60DA12FD"/>
    <w:rsid w:val="61012C93"/>
    <w:rsid w:val="61053FC5"/>
    <w:rsid w:val="610C088E"/>
    <w:rsid w:val="614A03E6"/>
    <w:rsid w:val="61531A50"/>
    <w:rsid w:val="61532201"/>
    <w:rsid w:val="61651210"/>
    <w:rsid w:val="61666018"/>
    <w:rsid w:val="616B46BB"/>
    <w:rsid w:val="616E1CFF"/>
    <w:rsid w:val="616E5EB6"/>
    <w:rsid w:val="617526CF"/>
    <w:rsid w:val="618560EB"/>
    <w:rsid w:val="618E3791"/>
    <w:rsid w:val="619743F4"/>
    <w:rsid w:val="619B5D77"/>
    <w:rsid w:val="61B10243"/>
    <w:rsid w:val="61BB2DD9"/>
    <w:rsid w:val="61C00B2F"/>
    <w:rsid w:val="61C3411F"/>
    <w:rsid w:val="61DD1B9A"/>
    <w:rsid w:val="61E136F6"/>
    <w:rsid w:val="61F4426B"/>
    <w:rsid w:val="61F83805"/>
    <w:rsid w:val="62022776"/>
    <w:rsid w:val="6205764C"/>
    <w:rsid w:val="621F13DC"/>
    <w:rsid w:val="62256C85"/>
    <w:rsid w:val="623600B0"/>
    <w:rsid w:val="624C78D4"/>
    <w:rsid w:val="62562501"/>
    <w:rsid w:val="6256299E"/>
    <w:rsid w:val="62574D95"/>
    <w:rsid w:val="62583769"/>
    <w:rsid w:val="62586747"/>
    <w:rsid w:val="626C60B7"/>
    <w:rsid w:val="62746498"/>
    <w:rsid w:val="62922E0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55A2C"/>
    <w:rsid w:val="64F953C5"/>
    <w:rsid w:val="651B533C"/>
    <w:rsid w:val="651E27DC"/>
    <w:rsid w:val="65206DF6"/>
    <w:rsid w:val="65291D8F"/>
    <w:rsid w:val="653B59DE"/>
    <w:rsid w:val="65570D94"/>
    <w:rsid w:val="655774EE"/>
    <w:rsid w:val="65795592"/>
    <w:rsid w:val="65A10F4D"/>
    <w:rsid w:val="65A93335"/>
    <w:rsid w:val="65B51681"/>
    <w:rsid w:val="65B765E2"/>
    <w:rsid w:val="65BC5BDE"/>
    <w:rsid w:val="65BD63F3"/>
    <w:rsid w:val="65CB4FB4"/>
    <w:rsid w:val="65D3678B"/>
    <w:rsid w:val="65DB69B9"/>
    <w:rsid w:val="65E142CF"/>
    <w:rsid w:val="65E31A89"/>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BE0674"/>
    <w:rsid w:val="66D1442C"/>
    <w:rsid w:val="66D30817"/>
    <w:rsid w:val="66D47E7F"/>
    <w:rsid w:val="66D64E5B"/>
    <w:rsid w:val="66DD089D"/>
    <w:rsid w:val="66DE592A"/>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8952B2"/>
    <w:rsid w:val="679D31F9"/>
    <w:rsid w:val="679D3BF4"/>
    <w:rsid w:val="679D472E"/>
    <w:rsid w:val="67A41618"/>
    <w:rsid w:val="67AE4749"/>
    <w:rsid w:val="67C56A11"/>
    <w:rsid w:val="67DC3A63"/>
    <w:rsid w:val="67E071EA"/>
    <w:rsid w:val="67FC4971"/>
    <w:rsid w:val="68221BAF"/>
    <w:rsid w:val="682D62D9"/>
    <w:rsid w:val="685143BC"/>
    <w:rsid w:val="68542A0A"/>
    <w:rsid w:val="68555296"/>
    <w:rsid w:val="685A68BE"/>
    <w:rsid w:val="686C1E80"/>
    <w:rsid w:val="68816836"/>
    <w:rsid w:val="689079C3"/>
    <w:rsid w:val="68907DEF"/>
    <w:rsid w:val="689A2A1B"/>
    <w:rsid w:val="68B95597"/>
    <w:rsid w:val="68D46A71"/>
    <w:rsid w:val="68D56910"/>
    <w:rsid w:val="68EF70C5"/>
    <w:rsid w:val="68F22D9F"/>
    <w:rsid w:val="69162C86"/>
    <w:rsid w:val="69180AD7"/>
    <w:rsid w:val="69214083"/>
    <w:rsid w:val="69456B9A"/>
    <w:rsid w:val="69481344"/>
    <w:rsid w:val="695700E3"/>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25119"/>
    <w:rsid w:val="6A4620BF"/>
    <w:rsid w:val="6A4D5F32"/>
    <w:rsid w:val="6A5D01A4"/>
    <w:rsid w:val="6A5D65D9"/>
    <w:rsid w:val="6A653139"/>
    <w:rsid w:val="6A6908F7"/>
    <w:rsid w:val="6A722F0B"/>
    <w:rsid w:val="6A7A4D5B"/>
    <w:rsid w:val="6A7E7518"/>
    <w:rsid w:val="6A825953"/>
    <w:rsid w:val="6A881C38"/>
    <w:rsid w:val="6A8A11E6"/>
    <w:rsid w:val="6A8B2F63"/>
    <w:rsid w:val="6A955B90"/>
    <w:rsid w:val="6A9C6F1F"/>
    <w:rsid w:val="6AC034F3"/>
    <w:rsid w:val="6AC96987"/>
    <w:rsid w:val="6AD24017"/>
    <w:rsid w:val="6AD42C61"/>
    <w:rsid w:val="6AE14092"/>
    <w:rsid w:val="6AEA323D"/>
    <w:rsid w:val="6AF07997"/>
    <w:rsid w:val="6AF5032D"/>
    <w:rsid w:val="6AFB2812"/>
    <w:rsid w:val="6AFF182D"/>
    <w:rsid w:val="6B032C8C"/>
    <w:rsid w:val="6B0F64B4"/>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114575"/>
    <w:rsid w:val="6C2A7712"/>
    <w:rsid w:val="6C3E2214"/>
    <w:rsid w:val="6C427652"/>
    <w:rsid w:val="6C4D48CD"/>
    <w:rsid w:val="6C661592"/>
    <w:rsid w:val="6C8202CD"/>
    <w:rsid w:val="6C8639E2"/>
    <w:rsid w:val="6C961621"/>
    <w:rsid w:val="6C9D5038"/>
    <w:rsid w:val="6CBB7DE1"/>
    <w:rsid w:val="6CC445CB"/>
    <w:rsid w:val="6CD042ED"/>
    <w:rsid w:val="6CDA2357"/>
    <w:rsid w:val="6CE8212C"/>
    <w:rsid w:val="6CED6224"/>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4588F"/>
    <w:rsid w:val="6D5E70E9"/>
    <w:rsid w:val="6D6729D8"/>
    <w:rsid w:val="6D6E09F2"/>
    <w:rsid w:val="6D852386"/>
    <w:rsid w:val="6DBD67AE"/>
    <w:rsid w:val="6DCF3167"/>
    <w:rsid w:val="6DD54C21"/>
    <w:rsid w:val="6DD8026E"/>
    <w:rsid w:val="6DF453C2"/>
    <w:rsid w:val="6DFC1EB9"/>
    <w:rsid w:val="6E25722B"/>
    <w:rsid w:val="6E3363CE"/>
    <w:rsid w:val="6E3C316F"/>
    <w:rsid w:val="6E453429"/>
    <w:rsid w:val="6E456275"/>
    <w:rsid w:val="6E4E36BD"/>
    <w:rsid w:val="6E5161B1"/>
    <w:rsid w:val="6E6127F4"/>
    <w:rsid w:val="6E631ECC"/>
    <w:rsid w:val="6E860D5E"/>
    <w:rsid w:val="6E880670"/>
    <w:rsid w:val="6E9028F6"/>
    <w:rsid w:val="6EA81F5F"/>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6B42"/>
    <w:rsid w:val="6F9C2017"/>
    <w:rsid w:val="6FB37BE5"/>
    <w:rsid w:val="6FC2450B"/>
    <w:rsid w:val="6FC7059A"/>
    <w:rsid w:val="6FCA64CD"/>
    <w:rsid w:val="6FE112C4"/>
    <w:rsid w:val="6FF069FB"/>
    <w:rsid w:val="6FF36A80"/>
    <w:rsid w:val="6FFB0619"/>
    <w:rsid w:val="6FFD7D02"/>
    <w:rsid w:val="6FFE5F86"/>
    <w:rsid w:val="70020E6A"/>
    <w:rsid w:val="701A60AC"/>
    <w:rsid w:val="702149D3"/>
    <w:rsid w:val="7021684B"/>
    <w:rsid w:val="70217D0F"/>
    <w:rsid w:val="7045295A"/>
    <w:rsid w:val="7047527A"/>
    <w:rsid w:val="704E0CBB"/>
    <w:rsid w:val="7056241A"/>
    <w:rsid w:val="707B2CB1"/>
    <w:rsid w:val="70924B19"/>
    <w:rsid w:val="70952588"/>
    <w:rsid w:val="70A34833"/>
    <w:rsid w:val="70B52AE8"/>
    <w:rsid w:val="70B75478"/>
    <w:rsid w:val="70BA7DE6"/>
    <w:rsid w:val="70BF74C3"/>
    <w:rsid w:val="70D56048"/>
    <w:rsid w:val="70DA3248"/>
    <w:rsid w:val="70DB6936"/>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371E1"/>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B008B1"/>
    <w:rsid w:val="72C16C93"/>
    <w:rsid w:val="72D66A82"/>
    <w:rsid w:val="72D67597"/>
    <w:rsid w:val="72E43D31"/>
    <w:rsid w:val="72FF6E9B"/>
    <w:rsid w:val="73027148"/>
    <w:rsid w:val="7305147C"/>
    <w:rsid w:val="731A30F8"/>
    <w:rsid w:val="733A7EE8"/>
    <w:rsid w:val="733D2687"/>
    <w:rsid w:val="734D11ED"/>
    <w:rsid w:val="735A55D3"/>
    <w:rsid w:val="73621B80"/>
    <w:rsid w:val="7375174D"/>
    <w:rsid w:val="73795D83"/>
    <w:rsid w:val="737B6EF7"/>
    <w:rsid w:val="73850D73"/>
    <w:rsid w:val="738B56FD"/>
    <w:rsid w:val="738B5D82"/>
    <w:rsid w:val="73911760"/>
    <w:rsid w:val="73993FFB"/>
    <w:rsid w:val="739F2E93"/>
    <w:rsid w:val="73A60FE9"/>
    <w:rsid w:val="73B8143C"/>
    <w:rsid w:val="73C06788"/>
    <w:rsid w:val="73D813D5"/>
    <w:rsid w:val="73DB1F8F"/>
    <w:rsid w:val="73DE1B70"/>
    <w:rsid w:val="73E6120B"/>
    <w:rsid w:val="741378E4"/>
    <w:rsid w:val="74213FF1"/>
    <w:rsid w:val="743138C9"/>
    <w:rsid w:val="74346455"/>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F273DA"/>
    <w:rsid w:val="74F600B5"/>
    <w:rsid w:val="750C6A4F"/>
    <w:rsid w:val="75102AF5"/>
    <w:rsid w:val="751C1B98"/>
    <w:rsid w:val="751C3CCD"/>
    <w:rsid w:val="752E2E69"/>
    <w:rsid w:val="753F1C14"/>
    <w:rsid w:val="75404D65"/>
    <w:rsid w:val="75410DEE"/>
    <w:rsid w:val="754B45FC"/>
    <w:rsid w:val="754C4FE3"/>
    <w:rsid w:val="75780005"/>
    <w:rsid w:val="75846F2D"/>
    <w:rsid w:val="758E56B6"/>
    <w:rsid w:val="759D02C4"/>
    <w:rsid w:val="759D26FD"/>
    <w:rsid w:val="75BA7DC9"/>
    <w:rsid w:val="75C158E1"/>
    <w:rsid w:val="75D75BBF"/>
    <w:rsid w:val="75F25C45"/>
    <w:rsid w:val="75F8173D"/>
    <w:rsid w:val="75FE15A4"/>
    <w:rsid w:val="76027B21"/>
    <w:rsid w:val="76087EFE"/>
    <w:rsid w:val="762471F0"/>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814CA"/>
    <w:rsid w:val="777B5097"/>
    <w:rsid w:val="777E55F4"/>
    <w:rsid w:val="777F79AC"/>
    <w:rsid w:val="77820DEB"/>
    <w:rsid w:val="7792671F"/>
    <w:rsid w:val="7797445D"/>
    <w:rsid w:val="77986D62"/>
    <w:rsid w:val="779905B2"/>
    <w:rsid w:val="77A015C8"/>
    <w:rsid w:val="77A92E90"/>
    <w:rsid w:val="77B650A0"/>
    <w:rsid w:val="77CE0481"/>
    <w:rsid w:val="77E43CB3"/>
    <w:rsid w:val="77EC7456"/>
    <w:rsid w:val="77EE7D89"/>
    <w:rsid w:val="77EF0483"/>
    <w:rsid w:val="77F13E57"/>
    <w:rsid w:val="77F54C8C"/>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933114"/>
    <w:rsid w:val="78B20233"/>
    <w:rsid w:val="78D12FAA"/>
    <w:rsid w:val="78D855C6"/>
    <w:rsid w:val="78FC0536"/>
    <w:rsid w:val="78FE7954"/>
    <w:rsid w:val="79315979"/>
    <w:rsid w:val="79424F4F"/>
    <w:rsid w:val="795831E5"/>
    <w:rsid w:val="796E7E54"/>
    <w:rsid w:val="79756315"/>
    <w:rsid w:val="79765CDA"/>
    <w:rsid w:val="797C76D7"/>
    <w:rsid w:val="798B6ADC"/>
    <w:rsid w:val="79971D97"/>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EB72BD"/>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D071B"/>
    <w:rsid w:val="7C84107F"/>
    <w:rsid w:val="7C9909ED"/>
    <w:rsid w:val="7C9C2291"/>
    <w:rsid w:val="7CA46921"/>
    <w:rsid w:val="7CA56991"/>
    <w:rsid w:val="7CA71E0B"/>
    <w:rsid w:val="7CB85E09"/>
    <w:rsid w:val="7CFE3A42"/>
    <w:rsid w:val="7CFF1519"/>
    <w:rsid w:val="7CFF7755"/>
    <w:rsid w:val="7D013878"/>
    <w:rsid w:val="7D0F508E"/>
    <w:rsid w:val="7D17450A"/>
    <w:rsid w:val="7D1943FF"/>
    <w:rsid w:val="7D2557AC"/>
    <w:rsid w:val="7D32101D"/>
    <w:rsid w:val="7D3F099E"/>
    <w:rsid w:val="7D4B01E2"/>
    <w:rsid w:val="7D533A52"/>
    <w:rsid w:val="7D5B43D0"/>
    <w:rsid w:val="7D6243C6"/>
    <w:rsid w:val="7D730DCC"/>
    <w:rsid w:val="7D76523E"/>
    <w:rsid w:val="7D78086B"/>
    <w:rsid w:val="7D781E69"/>
    <w:rsid w:val="7D7B5075"/>
    <w:rsid w:val="7D832173"/>
    <w:rsid w:val="7D8A3C14"/>
    <w:rsid w:val="7D8C5B06"/>
    <w:rsid w:val="7D934401"/>
    <w:rsid w:val="7D953960"/>
    <w:rsid w:val="7D961406"/>
    <w:rsid w:val="7DA56991"/>
    <w:rsid w:val="7DA623C2"/>
    <w:rsid w:val="7DA737B9"/>
    <w:rsid w:val="7DB639FC"/>
    <w:rsid w:val="7DE95B7F"/>
    <w:rsid w:val="7DFF0E02"/>
    <w:rsid w:val="7E070C8C"/>
    <w:rsid w:val="7E0800A0"/>
    <w:rsid w:val="7E0C521E"/>
    <w:rsid w:val="7E0E7E19"/>
    <w:rsid w:val="7E1840CC"/>
    <w:rsid w:val="7E1964D0"/>
    <w:rsid w:val="7E2A3B50"/>
    <w:rsid w:val="7E303249"/>
    <w:rsid w:val="7E525E1A"/>
    <w:rsid w:val="7E555123"/>
    <w:rsid w:val="7E557656"/>
    <w:rsid w:val="7E7538B7"/>
    <w:rsid w:val="7E841CD2"/>
    <w:rsid w:val="7E844BCE"/>
    <w:rsid w:val="7E8B4E88"/>
    <w:rsid w:val="7E8D660B"/>
    <w:rsid w:val="7E920963"/>
    <w:rsid w:val="7E9433D2"/>
    <w:rsid w:val="7E992085"/>
    <w:rsid w:val="7EB47F46"/>
    <w:rsid w:val="7EB94600"/>
    <w:rsid w:val="7ECF7C45"/>
    <w:rsid w:val="7ED82860"/>
    <w:rsid w:val="7EF45DB1"/>
    <w:rsid w:val="7EFD2358"/>
    <w:rsid w:val="7EFF5324"/>
    <w:rsid w:val="7F03165A"/>
    <w:rsid w:val="7F077A20"/>
    <w:rsid w:val="7F077BC2"/>
    <w:rsid w:val="7F09267A"/>
    <w:rsid w:val="7F2B23E6"/>
    <w:rsid w:val="7F2B4123"/>
    <w:rsid w:val="7F3426C9"/>
    <w:rsid w:val="7F3E0944"/>
    <w:rsid w:val="7F3E5DC7"/>
    <w:rsid w:val="7F514107"/>
    <w:rsid w:val="7F5C2ED4"/>
    <w:rsid w:val="7F5E061E"/>
    <w:rsid w:val="7F643B5C"/>
    <w:rsid w:val="7F671451"/>
    <w:rsid w:val="7F7F2B17"/>
    <w:rsid w:val="7F8A3D01"/>
    <w:rsid w:val="7F8B6823"/>
    <w:rsid w:val="7F9B25D3"/>
    <w:rsid w:val="7F9C4EBD"/>
    <w:rsid w:val="7FAD310E"/>
    <w:rsid w:val="7FCD6742"/>
    <w:rsid w:val="7FD83999"/>
    <w:rsid w:val="7FE44850"/>
    <w:rsid w:val="7FE546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6"/>
    <w:qFormat/>
    <w:uiPriority w:val="0"/>
    <w:pPr>
      <w:keepNext/>
      <w:keepLines/>
      <w:spacing w:line="440" w:lineRule="exact"/>
      <w:jc w:val="center"/>
      <w:outlineLvl w:val="0"/>
    </w:pPr>
    <w:rPr>
      <w:b/>
      <w:bCs/>
      <w:kern w:val="44"/>
      <w:sz w:val="44"/>
      <w:szCs w:val="44"/>
    </w:rPr>
  </w:style>
  <w:style w:type="paragraph" w:styleId="7">
    <w:name w:val="heading 2"/>
    <w:basedOn w:val="1"/>
    <w:next w:val="1"/>
    <w:link w:val="198"/>
    <w:qFormat/>
    <w:uiPriority w:val="0"/>
    <w:pPr>
      <w:keepNext/>
      <w:keepLines/>
      <w:spacing w:line="440" w:lineRule="exact"/>
      <w:jc w:val="left"/>
      <w:outlineLvl w:val="1"/>
    </w:pPr>
    <w:rPr>
      <w:rFonts w:ascii="Arial" w:hAnsi="Arial" w:eastAsia="黑体"/>
      <w:b/>
      <w:bCs/>
      <w:szCs w:val="32"/>
    </w:rPr>
  </w:style>
  <w:style w:type="paragraph" w:styleId="8">
    <w:name w:val="heading 3"/>
    <w:basedOn w:val="1"/>
    <w:next w:val="1"/>
    <w:link w:val="154"/>
    <w:qFormat/>
    <w:uiPriority w:val="0"/>
    <w:pPr>
      <w:keepNext/>
      <w:keepLines/>
      <w:spacing w:line="415" w:lineRule="auto"/>
      <w:outlineLvl w:val="2"/>
    </w:pPr>
    <w:rPr>
      <w:b/>
      <w:bCs/>
      <w:kern w:val="0"/>
      <w:sz w:val="32"/>
      <w:szCs w:val="32"/>
    </w:rPr>
  </w:style>
  <w:style w:type="paragraph" w:styleId="9">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10">
    <w:name w:val="heading 5"/>
    <w:basedOn w:val="1"/>
    <w:next w:val="1"/>
    <w:link w:val="131"/>
    <w:qFormat/>
    <w:uiPriority w:val="0"/>
    <w:pPr>
      <w:keepNext/>
      <w:keepLines/>
      <w:spacing w:line="376" w:lineRule="auto"/>
      <w:outlineLvl w:val="4"/>
    </w:pPr>
    <w:rPr>
      <w:b/>
      <w:bCs/>
      <w:sz w:val="28"/>
      <w:szCs w:val="28"/>
    </w:rPr>
  </w:style>
  <w:style w:type="paragraph" w:styleId="11">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2">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13">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4">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200" w:firstLineChars="200"/>
    </w:pPr>
    <w:rPr>
      <w:rFonts w:ascii="宋体"/>
      <w:szCs w:val="20"/>
    </w:rPr>
  </w:style>
  <w:style w:type="paragraph" w:styleId="3">
    <w:name w:val="Body Text Indent"/>
    <w:basedOn w:val="1"/>
    <w:next w:val="4"/>
    <w:qFormat/>
    <w:uiPriority w:val="0"/>
    <w:pPr>
      <w:ind w:left="420" w:leftChars="200"/>
    </w:pPr>
  </w:style>
  <w:style w:type="paragraph" w:styleId="4">
    <w:name w:val="envelope return"/>
    <w:basedOn w:val="1"/>
    <w:next w:val="5"/>
    <w:qFormat/>
    <w:uiPriority w:val="0"/>
    <w:pPr>
      <w:snapToGrid w:val="0"/>
    </w:pPr>
    <w:rPr>
      <w:rFonts w:ascii="Arial" w:hAnsi="Arial"/>
    </w:rPr>
  </w:style>
  <w:style w:type="paragraph" w:styleId="5">
    <w:name w:val="toc 7"/>
    <w:basedOn w:val="1"/>
    <w:next w:val="1"/>
    <w:qFormat/>
    <w:uiPriority w:val="39"/>
    <w:pPr>
      <w:ind w:left="1260"/>
      <w:jc w:val="left"/>
    </w:pPr>
    <w:rPr>
      <w:sz w:val="18"/>
      <w:szCs w:val="18"/>
    </w:rPr>
  </w:style>
  <w:style w:type="paragraph" w:styleId="15">
    <w:name w:val="table of authorities"/>
    <w:basedOn w:val="1"/>
    <w:next w:val="1"/>
    <w:unhideWhenUsed/>
    <w:qFormat/>
    <w:uiPriority w:val="0"/>
    <w:pPr>
      <w:ind w:left="420" w:leftChars="200"/>
    </w:pPr>
  </w:style>
  <w:style w:type="paragraph" w:styleId="16">
    <w:name w:val="Normal Indent"/>
    <w:basedOn w:val="1"/>
    <w:next w:val="2"/>
    <w:qFormat/>
    <w:uiPriority w:val="0"/>
    <w:pPr>
      <w:ind w:firstLine="420" w:firstLineChars="200"/>
    </w:pPr>
  </w:style>
  <w:style w:type="paragraph" w:styleId="17">
    <w:name w:val="Document Map"/>
    <w:basedOn w:val="1"/>
    <w:qFormat/>
    <w:uiPriority w:val="0"/>
    <w:pPr>
      <w:shd w:val="clear" w:color="auto" w:fill="000080"/>
    </w:pPr>
  </w:style>
  <w:style w:type="paragraph" w:styleId="18">
    <w:name w:val="annotation text"/>
    <w:basedOn w:val="1"/>
    <w:link w:val="115"/>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1"/>
    <w:link w:val="143"/>
    <w:qFormat/>
    <w:uiPriority w:val="0"/>
  </w:style>
  <w:style w:type="paragraph" w:styleId="21">
    <w:name w:val="Block Text"/>
    <w:basedOn w:val="1"/>
    <w:next w:val="22"/>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qFormat/>
    <w:uiPriority w:val="0"/>
    <w:pPr>
      <w:ind w:left="420" w:leftChars="200"/>
    </w:pPr>
    <w:rPr>
      <w:sz w:val="16"/>
      <w:szCs w:val="16"/>
    </w:rPr>
  </w:style>
  <w:style w:type="paragraph" w:styleId="23">
    <w:name w:val="toc 5"/>
    <w:basedOn w:val="1"/>
    <w:next w:val="1"/>
    <w:qFormat/>
    <w:uiPriority w:val="39"/>
    <w:pPr>
      <w:ind w:left="840"/>
      <w:jc w:val="left"/>
    </w:pPr>
    <w:rPr>
      <w:sz w:val="18"/>
      <w:szCs w:val="18"/>
    </w:rPr>
  </w:style>
  <w:style w:type="paragraph" w:styleId="24">
    <w:name w:val="toc 3"/>
    <w:basedOn w:val="1"/>
    <w:next w:val="1"/>
    <w:qFormat/>
    <w:uiPriority w:val="39"/>
    <w:pPr>
      <w:ind w:left="420"/>
      <w:jc w:val="left"/>
    </w:pPr>
    <w:rPr>
      <w:i/>
      <w:iCs/>
      <w:sz w:val="20"/>
      <w:szCs w:val="20"/>
    </w:rPr>
  </w:style>
  <w:style w:type="paragraph" w:styleId="25">
    <w:name w:val="Plain Text"/>
    <w:basedOn w:val="1"/>
    <w:next w:val="1"/>
    <w:link w:val="138"/>
    <w:qFormat/>
    <w:uiPriority w:val="0"/>
    <w:rPr>
      <w:rFonts w:ascii="Courier New" w:hAnsi="Courier New"/>
      <w:szCs w:val="20"/>
    </w:rPr>
  </w:style>
  <w:style w:type="paragraph" w:styleId="26">
    <w:name w:val="toc 8"/>
    <w:basedOn w:val="1"/>
    <w:next w:val="1"/>
    <w:qFormat/>
    <w:uiPriority w:val="39"/>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line="360" w:lineRule="exact"/>
      <w:ind w:firstLine="600" w:firstLineChars="250"/>
      <w:jc w:val="left"/>
    </w:pPr>
    <w:rPr>
      <w:sz w:val="24"/>
    </w:r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jc w:val="left"/>
    </w:pPr>
    <w:rPr>
      <w:b/>
      <w:bCs/>
      <w:caps/>
      <w:sz w:val="20"/>
      <w:szCs w:val="20"/>
    </w:rPr>
  </w:style>
  <w:style w:type="paragraph" w:styleId="33">
    <w:name w:val="toc 4"/>
    <w:basedOn w:val="1"/>
    <w:next w:val="1"/>
    <w:qFormat/>
    <w:uiPriority w:val="39"/>
    <w:pPr>
      <w:ind w:left="630"/>
      <w:jc w:val="left"/>
    </w:pPr>
    <w:rPr>
      <w:sz w:val="18"/>
      <w:szCs w:val="18"/>
    </w:rPr>
  </w:style>
  <w:style w:type="paragraph" w:styleId="34">
    <w:name w:val="List"/>
    <w:basedOn w:val="1"/>
    <w:qFormat/>
    <w:uiPriority w:val="0"/>
    <w:pPr>
      <w:ind w:left="420" w:hanging="420"/>
    </w:pPr>
  </w:style>
  <w:style w:type="paragraph" w:styleId="35">
    <w:name w:val="footnote text"/>
    <w:basedOn w:val="1"/>
    <w:qFormat/>
    <w:uiPriority w:val="0"/>
    <w:rPr>
      <w:sz w:val="20"/>
      <w:szCs w:val="20"/>
    </w:rPr>
  </w:style>
  <w:style w:type="paragraph" w:styleId="36">
    <w:name w:val="toc 6"/>
    <w:basedOn w:val="1"/>
    <w:next w:val="1"/>
    <w:qFormat/>
    <w:uiPriority w:val="39"/>
    <w:pPr>
      <w:ind w:left="1050"/>
      <w:jc w:val="left"/>
    </w:pPr>
    <w:rPr>
      <w:sz w:val="18"/>
      <w:szCs w:val="18"/>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39"/>
    <w:pPr>
      <w:ind w:left="210"/>
      <w:jc w:val="left"/>
    </w:pPr>
    <w:rPr>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qFormat/>
    <w:uiPriority w:val="0"/>
    <w:pPr>
      <w:spacing w:line="440" w:lineRule="exact"/>
    </w:pPr>
    <w:rPr>
      <w:sz w:val="28"/>
    </w:rPr>
  </w:style>
  <w:style w:type="paragraph" w:styleId="41">
    <w:name w:val="HTML Preformatted"/>
    <w:basedOn w:val="1"/>
    <w:link w:val="1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next w:val="43"/>
    <w:qFormat/>
    <w:uiPriority w:val="99"/>
    <w:pPr>
      <w:widowControl/>
      <w:spacing w:beforeAutospacing="1" w:afterAutospacing="1"/>
      <w:jc w:val="left"/>
    </w:pPr>
    <w:rPr>
      <w:rFonts w:ascii="宋体" w:hAnsi="宋体" w:cs="宋体"/>
      <w:kern w:val="0"/>
      <w:sz w:val="24"/>
    </w:rPr>
  </w:style>
  <w:style w:type="paragraph" w:customStyle="1" w:styleId="43">
    <w:name w:val="正文文字 8"/>
    <w:basedOn w:val="1"/>
    <w:next w:val="1"/>
    <w:qFormat/>
    <w:uiPriority w:val="0"/>
    <w:pPr>
      <w:ind w:left="240"/>
    </w:pPr>
    <w:rPr>
      <w:sz w:val="16"/>
    </w:rPr>
  </w:style>
  <w:style w:type="paragraph" w:styleId="44">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8"/>
    <w:next w:val="18"/>
    <w:qFormat/>
    <w:uiPriority w:val="0"/>
    <w:rPr>
      <w:b/>
      <w:bCs/>
    </w:rPr>
  </w:style>
  <w:style w:type="paragraph" w:styleId="46">
    <w:name w:val="Body Text First Indent"/>
    <w:basedOn w:val="20"/>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333333"/>
      <w:u w:val="none"/>
    </w:rPr>
  </w:style>
  <w:style w:type="character" w:styleId="53">
    <w:name w:val="Emphasis"/>
    <w:qFormat/>
    <w:uiPriority w:val="0"/>
    <w:rPr>
      <w:color w:val="CC0033"/>
    </w:rPr>
  </w:style>
  <w:style w:type="character" w:styleId="54">
    <w:name w:val="HTML Definition"/>
    <w:qFormat/>
    <w:uiPriority w:val="0"/>
  </w:style>
  <w:style w:type="character" w:styleId="55">
    <w:name w:val="HTML Typewriter"/>
    <w:qFormat/>
    <w:uiPriority w:val="0"/>
    <w:rPr>
      <w:rFonts w:hint="default" w:ascii="monospace" w:hAnsi="monospace" w:eastAsia="monospace" w:cs="monospace"/>
      <w:sz w:val="20"/>
    </w:rPr>
  </w:style>
  <w:style w:type="character" w:styleId="56">
    <w:name w:val="HTML Acronym"/>
    <w:basedOn w:val="49"/>
    <w:qFormat/>
    <w:uiPriority w:val="0"/>
  </w:style>
  <w:style w:type="character" w:styleId="57">
    <w:name w:val="HTML Variable"/>
    <w:qFormat/>
    <w:uiPriority w:val="0"/>
  </w:style>
  <w:style w:type="character" w:styleId="58">
    <w:name w:val="Hyperlink"/>
    <w:basedOn w:val="49"/>
    <w:qFormat/>
    <w:uiPriority w:val="99"/>
    <w:rPr>
      <w:color w:val="333333"/>
      <w:u w:val="none"/>
    </w:rPr>
  </w:style>
  <w:style w:type="character" w:styleId="59">
    <w:name w:val="HTML Code"/>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qFormat/>
    <w:uiPriority w:val="0"/>
  </w:style>
  <w:style w:type="character" w:styleId="62">
    <w:name w:val="footnote reference"/>
    <w:qFormat/>
    <w:uiPriority w:val="0"/>
    <w:rPr>
      <w:vertAlign w:val="superscript"/>
    </w:rPr>
  </w:style>
  <w:style w:type="character" w:styleId="63">
    <w:name w:val="HTML Keyboard"/>
    <w:qFormat/>
    <w:uiPriority w:val="0"/>
    <w:rPr>
      <w:rFonts w:ascii="monospace" w:hAnsi="monospace" w:eastAsia="monospace" w:cs="monospace"/>
      <w:sz w:val="20"/>
    </w:rPr>
  </w:style>
  <w:style w:type="character" w:styleId="64">
    <w:name w:val="HTML Sample"/>
    <w:qFormat/>
    <w:uiPriority w:val="0"/>
    <w:rPr>
      <w:rFonts w:hint="default" w:ascii="monospace" w:hAnsi="monospace" w:eastAsia="monospace" w:cs="monospace"/>
    </w:rPr>
  </w:style>
  <w:style w:type="character" w:customStyle="1" w:styleId="65">
    <w:name w:val="标题 2 Char"/>
    <w:qFormat/>
    <w:uiPriority w:val="0"/>
    <w:rPr>
      <w:rFonts w:ascii="Arial" w:hAnsi="Arial" w:eastAsia="黑体"/>
      <w:b/>
      <w:bCs/>
      <w:kern w:val="2"/>
      <w:sz w:val="21"/>
      <w:szCs w:val="32"/>
      <w:lang w:val="en-US" w:eastAsia="zh-CN" w:bidi="ar-SA"/>
    </w:rPr>
  </w:style>
  <w:style w:type="character" w:customStyle="1" w:styleId="66">
    <w:name w:val="标题 1 字符"/>
    <w:link w:val="6"/>
    <w:qFormat/>
    <w:uiPriority w:val="0"/>
    <w:rPr>
      <w:rFonts w:eastAsia="宋体"/>
      <w:b/>
      <w:bCs/>
      <w:kern w:val="44"/>
      <w:sz w:val="44"/>
      <w:szCs w:val="44"/>
      <w:lang w:val="en-US" w:eastAsia="zh-CN" w:bidi="ar-SA"/>
    </w:rPr>
  </w:style>
  <w:style w:type="paragraph" w:customStyle="1" w:styleId="67">
    <w:name w:val="正文（缩进）"/>
    <w:basedOn w:val="1"/>
    <w:next w:val="21"/>
    <w:qFormat/>
    <w:uiPriority w:val="0"/>
    <w:pPr>
      <w:spacing w:before="156" w:beforeLines="50" w:after="156" w:afterLines="50" w:line="360" w:lineRule="auto"/>
      <w:ind w:firstLine="480" w:firstLineChars="200"/>
    </w:pPr>
    <w:rPr>
      <w:sz w:val="24"/>
    </w:rPr>
  </w:style>
  <w:style w:type="paragraph" w:styleId="68">
    <w:name w:val="List Paragraph"/>
    <w:basedOn w:val="1"/>
    <w:qFormat/>
    <w:uiPriority w:val="34"/>
    <w:pPr>
      <w:ind w:firstLine="420" w:firstLineChars="200"/>
    </w:pPr>
  </w:style>
  <w:style w:type="paragraph" w:customStyle="1" w:styleId="69">
    <w:name w:val="_Style 62"/>
    <w:basedOn w:val="1"/>
    <w:next w:val="1"/>
    <w:qFormat/>
    <w:uiPriority w:val="0"/>
    <w:pPr>
      <w:pBdr>
        <w:top w:val="single" w:color="auto" w:sz="6" w:space="1"/>
      </w:pBdr>
      <w:jc w:val="center"/>
    </w:pPr>
    <w:rPr>
      <w:rFonts w:ascii="Arial"/>
      <w:vanish/>
      <w:sz w:val="16"/>
    </w:rPr>
  </w:style>
  <w:style w:type="paragraph" w:customStyle="1" w:styleId="70">
    <w:name w:val="Blockquote"/>
    <w:basedOn w:val="1"/>
    <w:qFormat/>
    <w:uiPriority w:val="0"/>
    <w:pPr>
      <w:autoSpaceDE w:val="0"/>
      <w:autoSpaceDN w:val="0"/>
      <w:adjustRightInd w:val="0"/>
      <w:ind w:left="360" w:right="360"/>
      <w:jc w:val="left"/>
    </w:pPr>
    <w:rPr>
      <w:kern w:val="0"/>
      <w:sz w:val="24"/>
      <w:szCs w:val="20"/>
    </w:rPr>
  </w:style>
  <w:style w:type="paragraph" w:customStyle="1" w:styleId="71">
    <w:name w:val="表格"/>
    <w:basedOn w:val="1"/>
    <w:qFormat/>
    <w:uiPriority w:val="0"/>
    <w:pPr>
      <w:jc w:val="center"/>
      <w:textAlignment w:val="center"/>
    </w:pPr>
    <w:rPr>
      <w:rFonts w:ascii="华文细黑" w:hAnsi="华文细黑"/>
      <w:kern w:val="0"/>
      <w:szCs w:val="20"/>
    </w:rPr>
  </w:style>
  <w:style w:type="paragraph" w:customStyle="1" w:styleId="72">
    <w:name w:val="表格文字"/>
    <w:basedOn w:val="1"/>
    <w:qFormat/>
    <w:uiPriority w:val="0"/>
    <w:pPr>
      <w:adjustRightInd w:val="0"/>
      <w:spacing w:line="420" w:lineRule="atLeast"/>
      <w:jc w:val="left"/>
      <w:textAlignment w:val="baseline"/>
    </w:pPr>
    <w:rPr>
      <w:kern w:val="0"/>
      <w:szCs w:val="20"/>
    </w:rPr>
  </w:style>
  <w:style w:type="paragraph" w:customStyle="1" w:styleId="73">
    <w:name w:val="Char"/>
    <w:basedOn w:val="1"/>
    <w:next w:val="1"/>
    <w:qFormat/>
    <w:uiPriority w:val="0"/>
    <w:pPr>
      <w:widowControl/>
      <w:spacing w:line="360" w:lineRule="auto"/>
      <w:jc w:val="left"/>
    </w:pPr>
    <w:rPr>
      <w:kern w:val="0"/>
      <w:szCs w:val="20"/>
      <w:lang w:eastAsia="en-US"/>
    </w:rPr>
  </w:style>
  <w:style w:type="paragraph" w:customStyle="1" w:styleId="7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样式2"/>
    <w:basedOn w:val="8"/>
    <w:qFormat/>
    <w:uiPriority w:val="0"/>
  </w:style>
  <w:style w:type="paragraph" w:customStyle="1" w:styleId="76">
    <w:name w:val="Default Paragraph Char Char Char Char"/>
    <w:basedOn w:val="1"/>
    <w:next w:val="1"/>
    <w:qFormat/>
    <w:uiPriority w:val="0"/>
    <w:pPr>
      <w:spacing w:line="360" w:lineRule="auto"/>
    </w:pPr>
    <w:rPr>
      <w:szCs w:val="20"/>
    </w:rPr>
  </w:style>
  <w:style w:type="paragraph" w:customStyle="1" w:styleId="77">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8">
    <w:name w:val="默认段落字体 Para Char Char Char Char"/>
    <w:basedOn w:val="1"/>
    <w:qFormat/>
    <w:uiPriority w:val="0"/>
  </w:style>
  <w:style w:type="paragraph" w:customStyle="1" w:styleId="79">
    <w:name w:val="样式 标题 1 + 黑体 五号"/>
    <w:basedOn w:val="6"/>
    <w:qFormat/>
    <w:uiPriority w:val="0"/>
    <w:pPr>
      <w:jc w:val="left"/>
    </w:pPr>
    <w:rPr>
      <w:rFonts w:ascii="黑体" w:hAnsi="黑体" w:eastAsia="黑体"/>
      <w:sz w:val="21"/>
    </w:rPr>
  </w:style>
  <w:style w:type="paragraph" w:customStyle="1" w:styleId="80">
    <w:name w:val="样式4"/>
    <w:basedOn w:val="8"/>
    <w:qFormat/>
    <w:uiPriority w:val="0"/>
    <w:rPr>
      <w:rFonts w:eastAsia="Arial"/>
    </w:rPr>
  </w:style>
  <w:style w:type="paragraph" w:customStyle="1" w:styleId="81">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2">
    <w:name w:val="列出段落1"/>
    <w:basedOn w:val="1"/>
    <w:qFormat/>
    <w:uiPriority w:val="0"/>
    <w:pPr>
      <w:ind w:firstLine="200" w:firstLineChars="200"/>
    </w:pPr>
  </w:style>
  <w:style w:type="paragraph" w:customStyle="1" w:styleId="83">
    <w:name w:val="p0 New"/>
    <w:basedOn w:val="1"/>
    <w:qFormat/>
    <w:uiPriority w:val="0"/>
    <w:pPr>
      <w:widowControl/>
      <w:jc w:val="left"/>
    </w:pPr>
    <w:rPr>
      <w:rFonts w:ascii="宋体" w:hAnsi="宋体" w:cs="宋体"/>
      <w:kern w:val="0"/>
      <w:sz w:val="18"/>
      <w:szCs w:val="18"/>
    </w:rPr>
  </w:style>
  <w:style w:type="paragraph" w:customStyle="1" w:styleId="84">
    <w:name w:val="样式 标题 1 + 黑体 三号 非加粗 居中 段前: 6 磅 段后: 6 磅 行距: 固定值 20 磅"/>
    <w:basedOn w:val="6"/>
    <w:qFormat/>
    <w:uiPriority w:val="0"/>
    <w:pPr>
      <w:spacing w:line="400" w:lineRule="exact"/>
    </w:pPr>
    <w:rPr>
      <w:rFonts w:ascii="黑体" w:hAnsi="黑体" w:eastAsia="黑体" w:cs="宋体"/>
      <w:b w:val="0"/>
      <w:bCs w:val="0"/>
      <w:sz w:val="32"/>
      <w:szCs w:val="20"/>
    </w:rPr>
  </w:style>
  <w:style w:type="paragraph" w:customStyle="1" w:styleId="85">
    <w:name w:val="_Style 78"/>
    <w:basedOn w:val="6"/>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6">
    <w:name w:val="Char1"/>
    <w:basedOn w:val="1"/>
    <w:qFormat/>
    <w:uiPriority w:val="0"/>
    <w:pPr>
      <w:tabs>
        <w:tab w:val="left" w:pos="360"/>
      </w:tabs>
    </w:pPr>
    <w:rPr>
      <w:sz w:val="24"/>
    </w:rPr>
  </w:style>
  <w:style w:type="paragraph" w:customStyle="1" w:styleId="87">
    <w:name w:val="样式1"/>
    <w:basedOn w:val="8"/>
    <w:qFormat/>
    <w:uiPriority w:val="0"/>
    <w:rPr>
      <w:rFonts w:eastAsia="Arial"/>
    </w:rPr>
  </w:style>
  <w:style w:type="paragraph" w:customStyle="1" w:styleId="88">
    <w:name w:val="Char Char Char Char Char Char Char Char Char Char Char Char Char"/>
    <w:basedOn w:val="1"/>
    <w:qFormat/>
    <w:uiPriority w:val="0"/>
  </w:style>
  <w:style w:type="paragraph" w:customStyle="1" w:styleId="89">
    <w:name w:val="p"/>
    <w:basedOn w:val="1"/>
    <w:qFormat/>
    <w:uiPriority w:val="0"/>
    <w:rPr>
      <w:rFonts w:ascii="宋体"/>
      <w:sz w:val="24"/>
    </w:rPr>
  </w:style>
  <w:style w:type="paragraph" w:customStyle="1" w:styleId="90">
    <w:name w:val="Char Char Char Char"/>
    <w:basedOn w:val="1"/>
    <w:qFormat/>
    <w:uiPriority w:val="0"/>
  </w:style>
  <w:style w:type="paragraph" w:customStyle="1" w:styleId="91">
    <w:name w:val="_Style 84"/>
    <w:basedOn w:val="1"/>
    <w:next w:val="1"/>
    <w:qFormat/>
    <w:uiPriority w:val="0"/>
    <w:pPr>
      <w:pBdr>
        <w:bottom w:val="single" w:color="auto" w:sz="6" w:space="1"/>
      </w:pBdr>
      <w:jc w:val="center"/>
    </w:pPr>
    <w:rPr>
      <w:rFonts w:ascii="Arial"/>
      <w:vanish/>
      <w:sz w:val="16"/>
    </w:rPr>
  </w:style>
  <w:style w:type="paragraph" w:customStyle="1" w:styleId="92">
    <w:name w:val="1"/>
    <w:basedOn w:val="1"/>
    <w:next w:val="1"/>
    <w:qFormat/>
    <w:uiPriority w:val="0"/>
  </w:style>
  <w:style w:type="paragraph" w:customStyle="1" w:styleId="93">
    <w:name w:val="p15"/>
    <w:qFormat/>
    <w:uiPriority w:val="0"/>
    <w:pPr>
      <w:jc w:val="both"/>
    </w:pPr>
    <w:rPr>
      <w:rFonts w:ascii="宋体" w:hAnsi="Times New Roman" w:eastAsia="宋体" w:cs="宋体"/>
      <w:sz w:val="21"/>
      <w:szCs w:val="21"/>
      <w:lang w:val="en-US" w:eastAsia="zh-CN" w:bidi="ar-SA"/>
    </w:rPr>
  </w:style>
  <w:style w:type="paragraph" w:customStyle="1" w:styleId="94">
    <w:name w:val="样式 标题 2 + Times New Roman 四号 非加粗 段前: 5 磅 段后: 0 磅 行距: 固定值 20..."/>
    <w:basedOn w:val="7"/>
    <w:qFormat/>
    <w:uiPriority w:val="0"/>
    <w:pPr>
      <w:spacing w:line="400" w:lineRule="exact"/>
    </w:pPr>
    <w:rPr>
      <w:rFonts w:ascii="Times New Roman" w:hAnsi="Times New Roman" w:cs="宋体"/>
      <w:b w:val="0"/>
      <w:bCs w:val="0"/>
      <w:sz w:val="28"/>
      <w:szCs w:val="20"/>
    </w:rPr>
  </w:style>
  <w:style w:type="paragraph" w:customStyle="1" w:styleId="95">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6">
    <w:name w:val="p0"/>
    <w:basedOn w:val="1"/>
    <w:qFormat/>
    <w:uiPriority w:val="99"/>
    <w:pPr>
      <w:widowControl/>
    </w:pPr>
    <w:rPr>
      <w:kern w:val="0"/>
      <w:szCs w:val="21"/>
    </w:rPr>
  </w:style>
  <w:style w:type="paragraph" w:customStyle="1" w:styleId="97">
    <w:name w:val="样式3"/>
    <w:basedOn w:val="8"/>
    <w:qFormat/>
    <w:uiPriority w:val="0"/>
    <w:rPr>
      <w:rFonts w:eastAsia="Arial"/>
    </w:rPr>
  </w:style>
  <w:style w:type="paragraph" w:customStyle="1" w:styleId="98">
    <w:name w:val="样式 标题 3 + (中文) 黑体 小四 非加粗 段前: 7.8 磅 段后: 0 磅 行距: 固定值 20 磅"/>
    <w:basedOn w:val="8"/>
    <w:qFormat/>
    <w:uiPriority w:val="0"/>
    <w:pPr>
      <w:spacing w:line="400" w:lineRule="exact"/>
    </w:pPr>
    <w:rPr>
      <w:rFonts w:eastAsia="黑体" w:cs="宋体"/>
      <w:b w:val="0"/>
      <w:bCs w:val="0"/>
      <w:sz w:val="24"/>
      <w:szCs w:val="20"/>
    </w:rPr>
  </w:style>
  <w:style w:type="paragraph" w:customStyle="1" w:styleId="99">
    <w:name w:val="Char Char Char Char Char Char Char Char Char Char Char Char Char1"/>
    <w:basedOn w:val="1"/>
    <w:qFormat/>
    <w:uiPriority w:val="0"/>
  </w:style>
  <w:style w:type="paragraph" w:customStyle="1" w:styleId="100">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101">
    <w:name w:val="正文2"/>
    <w:qFormat/>
    <w:uiPriority w:val="0"/>
    <w:pPr>
      <w:widowControl w:val="0"/>
      <w:jc w:val="both"/>
    </w:pPr>
    <w:rPr>
      <w:rFonts w:ascii="Times New Roman" w:hAnsi="Times New Roman" w:eastAsia="宋体" w:cs="Times New Roman"/>
      <w:lang w:val="en-US" w:eastAsia="zh-CN" w:bidi="ar-SA"/>
    </w:rPr>
  </w:style>
  <w:style w:type="character" w:customStyle="1" w:styleId="102">
    <w:name w:val="first-child"/>
    <w:basedOn w:val="49"/>
    <w:qFormat/>
    <w:uiPriority w:val="0"/>
  </w:style>
  <w:style w:type="character" w:customStyle="1" w:styleId="103">
    <w:name w:val="Char Char Char Char Char Char"/>
    <w:qFormat/>
    <w:uiPriority w:val="0"/>
    <w:rPr>
      <w:rFonts w:ascii="Arial" w:hAnsi="Arial" w:eastAsia="黑体"/>
      <w:b/>
      <w:bCs/>
      <w:kern w:val="2"/>
      <w:sz w:val="32"/>
      <w:szCs w:val="32"/>
      <w:lang w:val="en-US" w:eastAsia="zh-CN" w:bidi="ar-SA"/>
    </w:rPr>
  </w:style>
  <w:style w:type="character" w:customStyle="1" w:styleId="104">
    <w:name w:val="l11"/>
    <w:qFormat/>
    <w:uiPriority w:val="0"/>
    <w:rPr>
      <w:color w:val="999999"/>
    </w:rPr>
  </w:style>
  <w:style w:type="character" w:customStyle="1" w:styleId="105">
    <w:name w:val="Char Char"/>
    <w:qFormat/>
    <w:uiPriority w:val="0"/>
    <w:rPr>
      <w:rFonts w:ascii="Arial" w:hAnsi="Arial" w:eastAsia="黑体"/>
      <w:b/>
      <w:bCs/>
      <w:kern w:val="2"/>
      <w:sz w:val="32"/>
      <w:szCs w:val="32"/>
      <w:lang w:val="en-US" w:eastAsia="zh-CN" w:bidi="ar-SA"/>
    </w:rPr>
  </w:style>
  <w:style w:type="character" w:customStyle="1" w:styleId="106">
    <w:name w:val="Char Char5"/>
    <w:qFormat/>
    <w:uiPriority w:val="0"/>
    <w:rPr>
      <w:rFonts w:ascii="Arial" w:hAnsi="Arial" w:eastAsia="黑体"/>
      <w:b/>
      <w:bCs/>
      <w:kern w:val="2"/>
      <w:sz w:val="32"/>
      <w:szCs w:val="32"/>
    </w:rPr>
  </w:style>
  <w:style w:type="character" w:customStyle="1" w:styleId="107">
    <w:name w:val="msg-box28"/>
    <w:basedOn w:val="49"/>
    <w:qFormat/>
    <w:uiPriority w:val="0"/>
  </w:style>
  <w:style w:type="character" w:customStyle="1" w:styleId="108">
    <w:name w:val="img_title6"/>
    <w:qFormat/>
    <w:uiPriority w:val="0"/>
    <w:rPr>
      <w:vanish/>
    </w:rPr>
  </w:style>
  <w:style w:type="character" w:customStyle="1" w:styleId="109">
    <w:name w:val="tit12"/>
    <w:qFormat/>
    <w:uiPriority w:val="0"/>
    <w:rPr>
      <w:color w:val="04A06C"/>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nostart"/>
    <w:qFormat/>
    <w:uiPriority w:val="0"/>
    <w:rPr>
      <w:color w:val="FF0000"/>
    </w:rPr>
  </w:style>
  <w:style w:type="character" w:customStyle="1" w:styleId="112">
    <w:name w:val="nostart3"/>
    <w:basedOn w:val="49"/>
    <w:qFormat/>
    <w:uiPriority w:val="0"/>
  </w:style>
  <w:style w:type="character" w:customStyle="1" w:styleId="113">
    <w:name w:val="img4"/>
    <w:basedOn w:val="49"/>
    <w:qFormat/>
    <w:uiPriority w:val="0"/>
  </w:style>
  <w:style w:type="character" w:customStyle="1" w:styleId="114">
    <w:name w:val="tit11"/>
    <w:qFormat/>
    <w:uiPriority w:val="0"/>
    <w:rPr>
      <w:color w:val="B60000"/>
    </w:rPr>
  </w:style>
  <w:style w:type="character" w:customStyle="1" w:styleId="115">
    <w:name w:val="批注文字 字符"/>
    <w:link w:val="18"/>
    <w:qFormat/>
    <w:uiPriority w:val="0"/>
    <w:rPr>
      <w:rFonts w:eastAsia="宋体"/>
      <w:kern w:val="2"/>
      <w:sz w:val="21"/>
      <w:szCs w:val="24"/>
      <w:lang w:val="en-US" w:eastAsia="zh-CN" w:bidi="ar-SA"/>
    </w:rPr>
  </w:style>
  <w:style w:type="character" w:customStyle="1" w:styleId="116">
    <w:name w:val="over"/>
    <w:qFormat/>
    <w:uiPriority w:val="0"/>
    <w:rPr>
      <w:color w:val="B60000"/>
    </w:rPr>
  </w:style>
  <w:style w:type="character" w:customStyle="1" w:styleId="117">
    <w:name w:val="HTML 预设格式 字符"/>
    <w:link w:val="41"/>
    <w:qFormat/>
    <w:uiPriority w:val="0"/>
    <w:rPr>
      <w:rFonts w:ascii="宋体" w:hAnsi="宋体" w:cs="宋体"/>
      <w:sz w:val="24"/>
      <w:szCs w:val="24"/>
    </w:rPr>
  </w:style>
  <w:style w:type="character" w:customStyle="1" w:styleId="118">
    <w:name w:val="l6"/>
    <w:qFormat/>
    <w:uiPriority w:val="0"/>
    <w:rPr>
      <w:color w:val="999999"/>
    </w:rPr>
  </w:style>
  <w:style w:type="character" w:customStyle="1" w:styleId="119">
    <w:name w:val="datetime"/>
    <w:qFormat/>
    <w:uiPriority w:val="0"/>
    <w:rPr>
      <w:rFonts w:hint="default" w:ascii="Arial" w:hAnsi="Arial" w:cs="Arial"/>
      <w:color w:val="999999"/>
      <w:sz w:val="21"/>
      <w:szCs w:val="21"/>
    </w:rPr>
  </w:style>
  <w:style w:type="character" w:customStyle="1" w:styleId="120">
    <w:name w:val="txt1"/>
    <w:basedOn w:val="49"/>
    <w:qFormat/>
    <w:uiPriority w:val="0"/>
  </w:style>
  <w:style w:type="character" w:customStyle="1" w:styleId="121">
    <w:name w:val="starting1"/>
    <w:qFormat/>
    <w:uiPriority w:val="0"/>
    <w:rPr>
      <w:color w:val="339900"/>
    </w:rPr>
  </w:style>
  <w:style w:type="character" w:customStyle="1" w:styleId="122">
    <w:name w:val="starting2"/>
    <w:qFormat/>
    <w:uiPriority w:val="0"/>
    <w:rPr>
      <w:color w:val="B60000"/>
    </w:rPr>
  </w:style>
  <w:style w:type="character" w:customStyle="1" w:styleId="123">
    <w:name w:val="red"/>
    <w:qFormat/>
    <w:uiPriority w:val="0"/>
    <w:rPr>
      <w:rFonts w:hint="default" w:ascii="Arial" w:hAnsi="Arial" w:cs="Arial"/>
      <w:color w:val="E50000"/>
    </w:rPr>
  </w:style>
  <w:style w:type="character" w:customStyle="1" w:styleId="124">
    <w:name w:val="Char Char4"/>
    <w:qFormat/>
    <w:uiPriority w:val="0"/>
    <w:rPr>
      <w:rFonts w:eastAsia="宋体"/>
      <w:b/>
      <w:bCs/>
      <w:kern w:val="44"/>
      <w:sz w:val="44"/>
      <w:szCs w:val="44"/>
      <w:lang w:val="en-US" w:eastAsia="zh-CN" w:bidi="ar-SA"/>
    </w:rPr>
  </w:style>
  <w:style w:type="character" w:customStyle="1" w:styleId="125">
    <w:name w:val="font161"/>
    <w:qFormat/>
    <w:uiPriority w:val="0"/>
    <w:rPr>
      <w:b/>
      <w:bCs/>
      <w:sz w:val="32"/>
      <w:szCs w:val="32"/>
    </w:rPr>
  </w:style>
  <w:style w:type="character" w:customStyle="1" w:styleId="126">
    <w:name w:val="Char Char8"/>
    <w:qFormat/>
    <w:uiPriority w:val="0"/>
    <w:rPr>
      <w:rFonts w:ascii="Arial" w:hAnsi="Arial" w:eastAsia="黑体"/>
      <w:b/>
      <w:bCs/>
      <w:kern w:val="2"/>
      <w:sz w:val="32"/>
      <w:szCs w:val="32"/>
      <w:lang w:val="en-US" w:eastAsia="zh-CN" w:bidi="ar-SA"/>
    </w:rPr>
  </w:style>
  <w:style w:type="character" w:customStyle="1" w:styleId="127">
    <w:name w:val="msg-box29"/>
    <w:basedOn w:val="49"/>
    <w:qFormat/>
    <w:uiPriority w:val="0"/>
  </w:style>
  <w:style w:type="character" w:customStyle="1" w:styleId="128">
    <w:name w:val="over2"/>
    <w:qFormat/>
    <w:uiPriority w:val="0"/>
    <w:rPr>
      <w:color w:val="999999"/>
    </w:rPr>
  </w:style>
  <w:style w:type="character" w:customStyle="1" w:styleId="129">
    <w:name w:val="img_title7"/>
    <w:qFormat/>
    <w:uiPriority w:val="0"/>
    <w:rPr>
      <w:vanish/>
    </w:rPr>
  </w:style>
  <w:style w:type="character" w:customStyle="1" w:styleId="130">
    <w:name w:val="l7"/>
    <w:qFormat/>
    <w:uiPriority w:val="0"/>
    <w:rPr>
      <w:color w:val="999999"/>
    </w:rPr>
  </w:style>
  <w:style w:type="character" w:customStyle="1" w:styleId="131">
    <w:name w:val="标题 5 字符"/>
    <w:link w:val="10"/>
    <w:qFormat/>
    <w:uiPriority w:val="0"/>
    <w:rPr>
      <w:b/>
      <w:bCs/>
      <w:kern w:val="2"/>
      <w:sz w:val="28"/>
      <w:szCs w:val="28"/>
    </w:rPr>
  </w:style>
  <w:style w:type="character" w:customStyle="1" w:styleId="132">
    <w:name w:val="l51"/>
    <w:qFormat/>
    <w:uiPriority w:val="0"/>
    <w:rPr>
      <w:color w:val="999999"/>
    </w:rPr>
  </w:style>
  <w:style w:type="character" w:customStyle="1" w:styleId="133">
    <w:name w:val="num81"/>
    <w:basedOn w:val="49"/>
    <w:qFormat/>
    <w:uiPriority w:val="0"/>
  </w:style>
  <w:style w:type="character" w:customStyle="1" w:styleId="134">
    <w:name w:val="Char Char1"/>
    <w:qFormat/>
    <w:uiPriority w:val="0"/>
    <w:rPr>
      <w:rFonts w:eastAsia="宋体"/>
      <w:kern w:val="2"/>
      <w:sz w:val="21"/>
      <w:szCs w:val="24"/>
      <w:lang w:val="en-US" w:eastAsia="zh-CN" w:bidi="ar-SA"/>
    </w:rPr>
  </w:style>
  <w:style w:type="character" w:customStyle="1" w:styleId="135">
    <w:name w:val="zs"/>
    <w:qFormat/>
    <w:uiPriority w:val="0"/>
    <w:rPr>
      <w:color w:val="8D744B"/>
      <w:sz w:val="18"/>
      <w:szCs w:val="18"/>
    </w:rPr>
  </w:style>
  <w:style w:type="character" w:customStyle="1" w:styleId="136">
    <w:name w:val="bigfont"/>
    <w:basedOn w:val="49"/>
    <w:qFormat/>
    <w:uiPriority w:val="0"/>
  </w:style>
  <w:style w:type="character" w:customStyle="1" w:styleId="137">
    <w:name w:val="txt"/>
    <w:qFormat/>
    <w:uiPriority w:val="0"/>
    <w:rPr>
      <w:color w:val="C0C0C0"/>
    </w:rPr>
  </w:style>
  <w:style w:type="character" w:customStyle="1" w:styleId="138">
    <w:name w:val="纯文本 字符"/>
    <w:link w:val="25"/>
    <w:qFormat/>
    <w:uiPriority w:val="0"/>
    <w:rPr>
      <w:rFonts w:ascii="Courier New" w:hAnsi="Courier New" w:eastAsia="宋体"/>
      <w:kern w:val="2"/>
      <w:sz w:val="21"/>
      <w:lang w:val="en-US" w:eastAsia="zh-CN" w:bidi="ar-SA"/>
    </w:rPr>
  </w:style>
  <w:style w:type="character" w:customStyle="1" w:styleId="139">
    <w:name w:val="jg"/>
    <w:basedOn w:val="49"/>
    <w:qFormat/>
    <w:uiPriority w:val="0"/>
  </w:style>
  <w:style w:type="character" w:customStyle="1" w:styleId="140">
    <w:name w:val="17"/>
    <w:qFormat/>
    <w:uiPriority w:val="0"/>
    <w:rPr>
      <w:rFonts w:ascii="仿宋_GB2312" w:eastAsia="仿宋_GB2312"/>
      <w:color w:val="auto"/>
      <w:sz w:val="28"/>
      <w:szCs w:val="28"/>
      <w:u w:val="single"/>
    </w:rPr>
  </w:style>
  <w:style w:type="character" w:customStyle="1" w:styleId="141">
    <w:name w:val="job"/>
    <w:basedOn w:val="49"/>
    <w:qFormat/>
    <w:uiPriority w:val="0"/>
  </w:style>
  <w:style w:type="character" w:customStyle="1" w:styleId="142">
    <w:name w:val="job1"/>
    <w:basedOn w:val="49"/>
    <w:qFormat/>
    <w:uiPriority w:val="0"/>
  </w:style>
  <w:style w:type="character" w:customStyle="1" w:styleId="143">
    <w:name w:val="正文文本 字符"/>
    <w:link w:val="20"/>
    <w:qFormat/>
    <w:uiPriority w:val="0"/>
    <w:rPr>
      <w:rFonts w:eastAsia="宋体"/>
      <w:kern w:val="2"/>
      <w:sz w:val="21"/>
      <w:szCs w:val="24"/>
      <w:lang w:val="en-US" w:eastAsia="zh-CN" w:bidi="ar-SA"/>
    </w:rPr>
  </w:style>
  <w:style w:type="character" w:customStyle="1" w:styleId="144">
    <w:name w:val="p05"/>
    <w:basedOn w:val="49"/>
    <w:qFormat/>
    <w:uiPriority w:val="0"/>
  </w:style>
  <w:style w:type="character" w:customStyle="1" w:styleId="145">
    <w:name w:val="Char Char7"/>
    <w:qFormat/>
    <w:uiPriority w:val="0"/>
    <w:rPr>
      <w:rFonts w:ascii="Arial" w:hAnsi="Arial" w:eastAsia="黑体"/>
      <w:b/>
      <w:bCs/>
      <w:kern w:val="2"/>
      <w:sz w:val="32"/>
      <w:szCs w:val="32"/>
      <w:lang w:val="en-US" w:eastAsia="zh-CN" w:bidi="ar-SA"/>
    </w:rPr>
  </w:style>
  <w:style w:type="character" w:customStyle="1" w:styleId="146">
    <w:name w:val="over3"/>
    <w:basedOn w:val="49"/>
    <w:qFormat/>
    <w:uiPriority w:val="0"/>
  </w:style>
  <w:style w:type="character" w:customStyle="1" w:styleId="147">
    <w:name w:val="Char Char3"/>
    <w:qFormat/>
    <w:uiPriority w:val="0"/>
    <w:rPr>
      <w:rFonts w:ascii="Arial" w:hAnsi="Arial" w:eastAsia="黑体"/>
      <w:b/>
      <w:bCs/>
      <w:kern w:val="2"/>
      <w:sz w:val="32"/>
      <w:szCs w:val="32"/>
      <w:lang w:val="en-US" w:eastAsia="zh-CN" w:bidi="ar-SA"/>
    </w:rPr>
  </w:style>
  <w:style w:type="character" w:customStyle="1" w:styleId="148">
    <w:name w:val="Char Char71"/>
    <w:qFormat/>
    <w:uiPriority w:val="0"/>
    <w:rPr>
      <w:rFonts w:ascii="Arial" w:hAnsi="Arial" w:eastAsia="黑体"/>
      <w:b/>
      <w:bCs/>
      <w:kern w:val="2"/>
      <w:sz w:val="32"/>
      <w:szCs w:val="32"/>
      <w:lang w:val="en-US" w:eastAsia="zh-CN" w:bidi="ar-SA"/>
    </w:rPr>
  </w:style>
  <w:style w:type="character" w:customStyle="1" w:styleId="149">
    <w:name w:val="num51"/>
    <w:basedOn w:val="49"/>
    <w:qFormat/>
    <w:uiPriority w:val="0"/>
  </w:style>
  <w:style w:type="character" w:customStyle="1" w:styleId="150">
    <w:name w:val="Char Char Char"/>
    <w:qFormat/>
    <w:uiPriority w:val="0"/>
    <w:rPr>
      <w:rFonts w:eastAsia="宋体"/>
      <w:b/>
      <w:bCs/>
      <w:kern w:val="44"/>
      <w:sz w:val="44"/>
      <w:szCs w:val="44"/>
      <w:lang w:val="en-US" w:eastAsia="zh-CN" w:bidi="ar-SA"/>
    </w:rPr>
  </w:style>
  <w:style w:type="character" w:customStyle="1" w:styleId="151">
    <w:name w:val="msg-box31"/>
    <w:basedOn w:val="49"/>
    <w:qFormat/>
    <w:uiPriority w:val="0"/>
  </w:style>
  <w:style w:type="character" w:customStyle="1" w:styleId="152">
    <w:name w:val="msg-box30"/>
    <w:basedOn w:val="49"/>
    <w:qFormat/>
    <w:uiPriority w:val="0"/>
  </w:style>
  <w:style w:type="character" w:customStyle="1" w:styleId="153">
    <w:name w:val="标题 1 Char Char"/>
    <w:qFormat/>
    <w:uiPriority w:val="0"/>
    <w:rPr>
      <w:rFonts w:eastAsia="宋体"/>
      <w:b/>
      <w:bCs/>
      <w:kern w:val="44"/>
      <w:sz w:val="44"/>
      <w:szCs w:val="44"/>
      <w:lang w:val="en-US" w:eastAsia="zh-CN" w:bidi="ar-SA"/>
    </w:rPr>
  </w:style>
  <w:style w:type="character" w:customStyle="1" w:styleId="154">
    <w:name w:val="标题 3 字符"/>
    <w:link w:val="8"/>
    <w:qFormat/>
    <w:uiPriority w:val="0"/>
    <w:rPr>
      <w:b/>
      <w:bCs/>
      <w:sz w:val="32"/>
      <w:szCs w:val="32"/>
    </w:rPr>
  </w:style>
  <w:style w:type="character" w:customStyle="1" w:styleId="155">
    <w:name w:val="c1"/>
    <w:basedOn w:val="49"/>
    <w:qFormat/>
    <w:uiPriority w:val="0"/>
  </w:style>
  <w:style w:type="character" w:customStyle="1" w:styleId="156">
    <w:name w:val="纯文本 Char1"/>
    <w:qFormat/>
    <w:uiPriority w:val="0"/>
    <w:rPr>
      <w:rFonts w:ascii="Courier New" w:hAnsi="Courier New" w:eastAsia="宋体"/>
      <w:kern w:val="2"/>
      <w:sz w:val="21"/>
      <w:lang w:val="en-US" w:eastAsia="zh-CN" w:bidi="ar-SA"/>
    </w:rPr>
  </w:style>
  <w:style w:type="character" w:customStyle="1" w:styleId="157">
    <w:name w:val="Char Char Char1"/>
    <w:qFormat/>
    <w:uiPriority w:val="0"/>
    <w:rPr>
      <w:rFonts w:ascii="Arial" w:hAnsi="Arial" w:eastAsia="黑体"/>
      <w:b/>
      <w:bCs/>
      <w:kern w:val="2"/>
      <w:sz w:val="32"/>
      <w:szCs w:val="32"/>
      <w:lang w:val="en-US" w:eastAsia="zh-CN" w:bidi="ar-SA"/>
    </w:rPr>
  </w:style>
  <w:style w:type="character" w:customStyle="1" w:styleId="158">
    <w:name w:val="l3"/>
    <w:qFormat/>
    <w:uiPriority w:val="0"/>
    <w:rPr>
      <w:color w:val="999999"/>
    </w:rPr>
  </w:style>
  <w:style w:type="character" w:customStyle="1" w:styleId="159">
    <w:name w:val="tit14"/>
    <w:qFormat/>
    <w:uiPriority w:val="0"/>
    <w:rPr>
      <w:color w:val="B60000"/>
    </w:rPr>
  </w:style>
  <w:style w:type="character" w:customStyle="1" w:styleId="160">
    <w:name w:val="tit10"/>
    <w:qFormat/>
    <w:uiPriority w:val="0"/>
    <w:rPr>
      <w:color w:val="B60000"/>
    </w:rPr>
  </w:style>
  <w:style w:type="character" w:customStyle="1" w:styleId="161">
    <w:name w:val="l21"/>
    <w:qFormat/>
    <w:uiPriority w:val="0"/>
    <w:rPr>
      <w:color w:val="999999"/>
    </w:rPr>
  </w:style>
  <w:style w:type="character" w:customStyle="1" w:styleId="162">
    <w:name w:val="num71"/>
    <w:basedOn w:val="49"/>
    <w:qFormat/>
    <w:uiPriority w:val="0"/>
  </w:style>
  <w:style w:type="character" w:customStyle="1" w:styleId="163">
    <w:name w:val="标题 2 Char Char"/>
    <w:qFormat/>
    <w:uiPriority w:val="0"/>
    <w:rPr>
      <w:rFonts w:ascii="Arial" w:hAnsi="Arial" w:eastAsia="黑体"/>
      <w:b/>
      <w:bCs/>
      <w:kern w:val="2"/>
      <w:sz w:val="32"/>
      <w:szCs w:val="32"/>
      <w:lang w:val="en-US" w:eastAsia="zh-CN" w:bidi="ar-SA"/>
    </w:rPr>
  </w:style>
  <w:style w:type="character" w:customStyle="1" w:styleId="164">
    <w:name w:val="buvis"/>
    <w:qFormat/>
    <w:uiPriority w:val="0"/>
    <w:rPr>
      <w:color w:val="999999"/>
    </w:rPr>
  </w:style>
  <w:style w:type="character" w:customStyle="1" w:styleId="165">
    <w:name w:val="name"/>
    <w:qFormat/>
    <w:uiPriority w:val="0"/>
    <w:rPr>
      <w:color w:val="444444"/>
      <w:sz w:val="21"/>
      <w:szCs w:val="21"/>
    </w:rPr>
  </w:style>
  <w:style w:type="character" w:customStyle="1" w:styleId="166">
    <w:name w:val="layui-this"/>
    <w:qFormat/>
    <w:uiPriority w:val="0"/>
    <w:rPr>
      <w:bdr w:val="single" w:color="EEEEEE" w:sz="6" w:space="0"/>
      <w:shd w:val="clear" w:color="auto" w:fill="FFFFFF"/>
    </w:rPr>
  </w:style>
  <w:style w:type="character" w:customStyle="1" w:styleId="167">
    <w:name w:val="标题 2 Char1"/>
    <w:qFormat/>
    <w:uiPriority w:val="0"/>
    <w:rPr>
      <w:rFonts w:ascii="Arial" w:hAnsi="Arial" w:eastAsia="黑体"/>
      <w:b/>
      <w:bCs/>
      <w:kern w:val="2"/>
      <w:sz w:val="32"/>
      <w:szCs w:val="32"/>
      <w:lang w:val="en-US" w:eastAsia="zh-CN" w:bidi="ar-SA"/>
    </w:rPr>
  </w:style>
  <w:style w:type="character" w:customStyle="1" w:styleId="168">
    <w:name w:val="zw"/>
    <w:qFormat/>
    <w:uiPriority w:val="0"/>
    <w:rPr>
      <w:color w:val="BD1E22"/>
      <w:sz w:val="22"/>
      <w:szCs w:val="22"/>
    </w:rPr>
  </w:style>
  <w:style w:type="character" w:customStyle="1" w:styleId="169">
    <w:name w:val="name1"/>
    <w:qFormat/>
    <w:uiPriority w:val="0"/>
    <w:rPr>
      <w:color w:val="695435"/>
      <w:sz w:val="24"/>
      <w:szCs w:val="24"/>
    </w:rPr>
  </w:style>
  <w:style w:type="character" w:customStyle="1" w:styleId="170">
    <w:name w:val="num61"/>
    <w:basedOn w:val="49"/>
    <w:qFormat/>
    <w:uiPriority w:val="0"/>
  </w:style>
  <w:style w:type="character" w:customStyle="1" w:styleId="171">
    <w:name w:val="mesg-myd"/>
    <w:qFormat/>
    <w:uiPriority w:val="0"/>
    <w:rPr>
      <w:color w:val="EE0000"/>
    </w:rPr>
  </w:style>
  <w:style w:type="character" w:customStyle="1" w:styleId="172">
    <w:name w:val="c2"/>
    <w:basedOn w:val="49"/>
    <w:qFormat/>
    <w:uiPriority w:val="0"/>
  </w:style>
  <w:style w:type="character" w:customStyle="1" w:styleId="173">
    <w:name w:val="c3"/>
    <w:basedOn w:val="49"/>
    <w:qFormat/>
    <w:uiPriority w:val="0"/>
  </w:style>
  <w:style w:type="character" w:customStyle="1" w:styleId="174">
    <w:name w:val="over1"/>
    <w:qFormat/>
    <w:uiPriority w:val="0"/>
    <w:rPr>
      <w:color w:val="B60000"/>
    </w:rPr>
  </w:style>
  <w:style w:type="character" w:customStyle="1" w:styleId="175">
    <w:name w:val="tit13"/>
    <w:qFormat/>
    <w:uiPriority w:val="0"/>
    <w:rPr>
      <w:color w:val="FFFFFF"/>
    </w:rPr>
  </w:style>
  <w:style w:type="character" w:customStyle="1" w:styleId="176">
    <w:name w:val="Char Char21"/>
    <w:qFormat/>
    <w:uiPriority w:val="0"/>
    <w:rPr>
      <w:rFonts w:eastAsia="宋体"/>
      <w:kern w:val="2"/>
      <w:sz w:val="21"/>
      <w:szCs w:val="24"/>
      <w:lang w:val="en-US" w:eastAsia="zh-CN" w:bidi="ar-SA"/>
    </w:rPr>
  </w:style>
  <w:style w:type="character" w:customStyle="1" w:styleId="177">
    <w:name w:val="l41"/>
    <w:qFormat/>
    <w:uiPriority w:val="0"/>
    <w:rPr>
      <w:color w:val="999999"/>
    </w:rPr>
  </w:style>
  <w:style w:type="character" w:customStyle="1" w:styleId="178">
    <w:name w:val="16"/>
    <w:qFormat/>
    <w:uiPriority w:val="0"/>
    <w:rPr>
      <w:rFonts w:ascii="仿宋_GB2312" w:eastAsia="仿宋_GB2312"/>
      <w:color w:val="auto"/>
      <w:sz w:val="28"/>
      <w:szCs w:val="28"/>
    </w:rPr>
  </w:style>
  <w:style w:type="character" w:customStyle="1" w:styleId="179">
    <w:name w:val="num31"/>
    <w:basedOn w:val="49"/>
    <w:qFormat/>
    <w:uiPriority w:val="0"/>
  </w:style>
  <w:style w:type="character" w:customStyle="1" w:styleId="180">
    <w:name w:val="starting4"/>
    <w:basedOn w:val="49"/>
    <w:qFormat/>
    <w:uiPriority w:val="0"/>
  </w:style>
  <w:style w:type="character" w:customStyle="1" w:styleId="181">
    <w:name w:val="bsharetext"/>
    <w:basedOn w:val="49"/>
    <w:qFormat/>
    <w:uiPriority w:val="0"/>
  </w:style>
  <w:style w:type="character" w:customStyle="1" w:styleId="182">
    <w:name w:val="unit"/>
    <w:qFormat/>
    <w:uiPriority w:val="0"/>
    <w:rPr>
      <w:color w:val="999999"/>
    </w:rPr>
  </w:style>
  <w:style w:type="character" w:customStyle="1" w:styleId="183">
    <w:name w:val="nostart2"/>
    <w:qFormat/>
    <w:uiPriority w:val="0"/>
    <w:rPr>
      <w:color w:val="B60000"/>
    </w:rPr>
  </w:style>
  <w:style w:type="character" w:customStyle="1" w:styleId="184">
    <w:name w:val="纯文本 Char"/>
    <w:qFormat/>
    <w:uiPriority w:val="99"/>
    <w:rPr>
      <w:rFonts w:ascii="Courier New" w:hAnsi="Courier New" w:eastAsia="宋体"/>
      <w:kern w:val="2"/>
      <w:sz w:val="21"/>
      <w:lang w:val="en-US" w:eastAsia="zh-CN" w:bidi="ar-SA"/>
    </w:rPr>
  </w:style>
  <w:style w:type="character" w:customStyle="1" w:styleId="185">
    <w:name w:val="Char Char81"/>
    <w:qFormat/>
    <w:uiPriority w:val="0"/>
    <w:rPr>
      <w:rFonts w:ascii="Arial" w:hAnsi="Arial" w:eastAsia="黑体"/>
      <w:b/>
      <w:bCs/>
      <w:kern w:val="2"/>
      <w:sz w:val="32"/>
      <w:szCs w:val="32"/>
      <w:lang w:val="en-US" w:eastAsia="zh-CN" w:bidi="ar-SA"/>
    </w:rPr>
  </w:style>
  <w:style w:type="character" w:customStyle="1" w:styleId="186">
    <w:name w:val="starting"/>
    <w:qFormat/>
    <w:uiPriority w:val="0"/>
    <w:rPr>
      <w:color w:val="339900"/>
    </w:rPr>
  </w:style>
  <w:style w:type="character" w:customStyle="1" w:styleId="187">
    <w:name w:val="nostart1"/>
    <w:qFormat/>
    <w:uiPriority w:val="0"/>
    <w:rPr>
      <w:color w:val="FF0000"/>
    </w:rPr>
  </w:style>
  <w:style w:type="character" w:customStyle="1" w:styleId="188">
    <w:name w:val="num210"/>
    <w:basedOn w:val="49"/>
    <w:qFormat/>
    <w:uiPriority w:val="0"/>
  </w:style>
  <w:style w:type="character" w:customStyle="1" w:styleId="189">
    <w:name w:val="buvis1"/>
    <w:qFormat/>
    <w:uiPriority w:val="0"/>
    <w:rPr>
      <w:color w:val="CC0000"/>
    </w:rPr>
  </w:style>
  <w:style w:type="character" w:customStyle="1" w:styleId="190">
    <w:name w:val="starting3"/>
    <w:basedOn w:val="49"/>
    <w:qFormat/>
    <w:uiPriority w:val="0"/>
  </w:style>
  <w:style w:type="character" w:customStyle="1" w:styleId="191">
    <w:name w:val="textcontents"/>
    <w:basedOn w:val="49"/>
    <w:qFormat/>
    <w:uiPriority w:val="0"/>
  </w:style>
  <w:style w:type="character" w:customStyle="1" w:styleId="192">
    <w:name w:val="num41"/>
    <w:basedOn w:val="49"/>
    <w:qFormat/>
    <w:uiPriority w:val="0"/>
  </w:style>
  <w:style w:type="character" w:customStyle="1" w:styleId="193">
    <w:name w:val="tit9"/>
    <w:qFormat/>
    <w:uiPriority w:val="0"/>
    <w:rPr>
      <w:color w:val="B60000"/>
      <w:sz w:val="27"/>
      <w:szCs w:val="27"/>
      <w:bdr w:val="single" w:color="DFCEB8" w:sz="6" w:space="0"/>
      <w:shd w:val="clear" w:color="auto" w:fill="FFFFFF"/>
    </w:rPr>
  </w:style>
  <w:style w:type="character" w:customStyle="1" w:styleId="194">
    <w:name w:val="name2"/>
    <w:qFormat/>
    <w:uiPriority w:val="0"/>
    <w:rPr>
      <w:color w:val="000000"/>
      <w:sz w:val="39"/>
      <w:szCs w:val="39"/>
    </w:rPr>
  </w:style>
  <w:style w:type="character" w:customStyle="1" w:styleId="195">
    <w:name w:val="img_title8"/>
    <w:qFormat/>
    <w:uiPriority w:val="0"/>
    <w:rPr>
      <w:vanish/>
    </w:rPr>
  </w:style>
  <w:style w:type="character" w:customStyle="1" w:styleId="196">
    <w:name w:val="tit15"/>
    <w:qFormat/>
    <w:uiPriority w:val="0"/>
    <w:rPr>
      <w:b/>
      <w:color w:val="B60000"/>
    </w:rPr>
  </w:style>
  <w:style w:type="character" w:customStyle="1" w:styleId="197">
    <w:name w:val="img_title9"/>
    <w:qFormat/>
    <w:uiPriority w:val="0"/>
    <w:rPr>
      <w:vanish/>
    </w:rPr>
  </w:style>
  <w:style w:type="character" w:customStyle="1" w:styleId="198">
    <w:name w:val="标题 2 字符"/>
    <w:link w:val="7"/>
    <w:qFormat/>
    <w:uiPriority w:val="0"/>
    <w:rPr>
      <w:rFonts w:ascii="Arial" w:hAnsi="Arial" w:eastAsia="黑体"/>
      <w:b/>
      <w:bCs/>
      <w:kern w:val="2"/>
      <w:sz w:val="21"/>
      <w:szCs w:val="32"/>
      <w:lang w:val="en-US" w:eastAsia="zh-CN" w:bidi="ar-SA"/>
    </w:rPr>
  </w:style>
  <w:style w:type="paragraph" w:customStyle="1" w:styleId="199">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9"/>
    <w:qFormat/>
    <w:uiPriority w:val="0"/>
    <w:rPr>
      <w:rFonts w:hint="eastAsia" w:ascii="仿宋" w:hAnsi="仿宋" w:eastAsia="仿宋" w:cs="仿宋"/>
      <w:b/>
      <w:color w:val="000000"/>
      <w:sz w:val="32"/>
      <w:szCs w:val="32"/>
      <w:u w:val="none"/>
    </w:rPr>
  </w:style>
  <w:style w:type="character" w:customStyle="1" w:styleId="201">
    <w:name w:val="font101"/>
    <w:basedOn w:val="49"/>
    <w:qFormat/>
    <w:uiPriority w:val="0"/>
    <w:rPr>
      <w:rFonts w:hint="default" w:ascii="Times New Roman" w:hAnsi="Times New Roman" w:cs="Times New Roman"/>
      <w:color w:val="000000"/>
      <w:sz w:val="24"/>
      <w:szCs w:val="24"/>
      <w:u w:val="none"/>
    </w:rPr>
  </w:style>
  <w:style w:type="character" w:customStyle="1" w:styleId="202">
    <w:name w:val="font111"/>
    <w:basedOn w:val="49"/>
    <w:qFormat/>
    <w:uiPriority w:val="0"/>
    <w:rPr>
      <w:rFonts w:ascii="仿宋_GB2312" w:eastAsia="仿宋_GB2312" w:cs="仿宋_GB2312"/>
      <w:color w:val="000000"/>
      <w:sz w:val="24"/>
      <w:szCs w:val="24"/>
      <w:u w:val="none"/>
    </w:rPr>
  </w:style>
  <w:style w:type="character" w:customStyle="1" w:styleId="203">
    <w:name w:val="font91"/>
    <w:basedOn w:val="49"/>
    <w:qFormat/>
    <w:uiPriority w:val="0"/>
    <w:rPr>
      <w:rFonts w:hint="eastAsia" w:ascii="仿宋" w:hAnsi="仿宋" w:eastAsia="仿宋" w:cs="仿宋"/>
      <w:color w:val="000000"/>
      <w:sz w:val="24"/>
      <w:szCs w:val="24"/>
      <w:u w:val="single"/>
    </w:rPr>
  </w:style>
  <w:style w:type="character" w:customStyle="1" w:styleId="204">
    <w:name w:val="font81"/>
    <w:basedOn w:val="49"/>
    <w:qFormat/>
    <w:uiPriority w:val="0"/>
    <w:rPr>
      <w:rFonts w:hint="default" w:ascii="Times New Roman" w:hAnsi="Times New Roman" w:cs="Times New Roman"/>
      <w:color w:val="000000"/>
      <w:sz w:val="24"/>
      <w:szCs w:val="24"/>
      <w:u w:val="none"/>
    </w:rPr>
  </w:style>
  <w:style w:type="character" w:customStyle="1" w:styleId="205">
    <w:name w:val="font61"/>
    <w:basedOn w:val="49"/>
    <w:qFormat/>
    <w:uiPriority w:val="0"/>
    <w:rPr>
      <w:rFonts w:hint="eastAsia" w:ascii="仿宋_GB2312" w:eastAsia="仿宋_GB2312" w:cs="仿宋_GB2312"/>
      <w:color w:val="000000"/>
      <w:sz w:val="24"/>
      <w:szCs w:val="24"/>
      <w:u w:val="none"/>
    </w:rPr>
  </w:style>
  <w:style w:type="character" w:customStyle="1" w:styleId="206">
    <w:name w:val="font21"/>
    <w:basedOn w:val="49"/>
    <w:qFormat/>
    <w:uiPriority w:val="0"/>
    <w:rPr>
      <w:rFonts w:hint="default" w:ascii="Times New Roman" w:hAnsi="Times New Roman" w:cs="Times New Roman"/>
      <w:color w:val="000000"/>
      <w:sz w:val="24"/>
      <w:szCs w:val="24"/>
      <w:u w:val="none"/>
    </w:rPr>
  </w:style>
  <w:style w:type="character" w:customStyle="1" w:styleId="207">
    <w:name w:val="NormalCharacter"/>
    <w:semiHidden/>
    <w:qFormat/>
    <w:uiPriority w:val="0"/>
    <w:rPr>
      <w:snapToGrid w:val="0"/>
      <w:kern w:val="0"/>
      <w:sz w:val="32"/>
      <w:szCs w:val="32"/>
      <w:lang w:val="en-US" w:eastAsia="zh-CN" w:bidi="ar-SA"/>
    </w:rPr>
  </w:style>
  <w:style w:type="character" w:customStyle="1" w:styleId="208">
    <w:name w:val="first-child1"/>
    <w:basedOn w:val="49"/>
    <w:qFormat/>
    <w:uiPriority w:val="0"/>
  </w:style>
  <w:style w:type="character" w:customStyle="1" w:styleId="209">
    <w:name w:val="hover1"/>
    <w:basedOn w:val="49"/>
    <w:qFormat/>
    <w:uiPriority w:val="0"/>
    <w:rPr>
      <w:color w:val="2590EB"/>
    </w:rPr>
  </w:style>
  <w:style w:type="character" w:customStyle="1" w:styleId="210">
    <w:name w:val="hover2"/>
    <w:basedOn w:val="49"/>
    <w:qFormat/>
    <w:uiPriority w:val="0"/>
  </w:style>
  <w:style w:type="character" w:customStyle="1" w:styleId="211">
    <w:name w:val="hover3"/>
    <w:basedOn w:val="49"/>
    <w:qFormat/>
    <w:uiPriority w:val="0"/>
    <w:rPr>
      <w:color w:val="2590EB"/>
    </w:rPr>
  </w:style>
  <w:style w:type="character" w:customStyle="1" w:styleId="212">
    <w:name w:val="hover4"/>
    <w:basedOn w:val="49"/>
    <w:qFormat/>
    <w:uiPriority w:val="0"/>
    <w:rPr>
      <w:color w:val="2590EB"/>
      <w:shd w:val="clear" w:color="auto" w:fill="E9F4FD"/>
    </w:rPr>
  </w:style>
  <w:style w:type="character" w:customStyle="1" w:styleId="213">
    <w:name w:val="mini-outputtext1"/>
    <w:basedOn w:val="49"/>
    <w:qFormat/>
    <w:uiPriority w:val="0"/>
  </w:style>
  <w:style w:type="character" w:customStyle="1" w:styleId="214">
    <w:name w:val="hover"/>
    <w:basedOn w:val="49"/>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83</Pages>
  <Words>46035</Words>
  <Characters>48123</Characters>
  <Lines>403</Lines>
  <Paragraphs>113</Paragraphs>
  <TotalTime>0</TotalTime>
  <ScaleCrop>false</ScaleCrop>
  <LinksUpToDate>false</LinksUpToDate>
  <CharactersWithSpaces>53129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这不科学</cp:lastModifiedBy>
  <cp:lastPrinted>2023-06-08T00:43:00Z</cp:lastPrinted>
  <dcterms:modified xsi:type="dcterms:W3CDTF">2024-09-06T08:12:08Z</dcterms:modified>
  <dc:title>标准交易文件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01AB63898F3540B8BC256747D954FAC1</vt:lpwstr>
  </property>
</Properties>
</file>